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7E4C" w:rsidRPr="00F07E4C" w:rsidRDefault="00F07E4C" w:rsidP="00F07E4C">
      <w:pPr>
        <w:rPr>
          <w:b/>
          <w:sz w:val="28"/>
        </w:rPr>
      </w:pPr>
      <w:r>
        <w:rPr>
          <w:b/>
          <w:sz w:val="28"/>
        </w:rPr>
        <w:t>Doka forskaler sitt 1000. høybygg i 2017</w:t>
      </w:r>
    </w:p>
    <w:p w:rsidR="00F07E4C" w:rsidRPr="002E7289" w:rsidRDefault="00F07E4C" w:rsidP="00F07E4C">
      <w:pPr>
        <w:rPr>
          <w:b/>
        </w:rPr>
      </w:pPr>
    </w:p>
    <w:p w:rsidR="002E7289" w:rsidRPr="00F07E4C" w:rsidRDefault="00EC626D" w:rsidP="00034099">
      <w:pPr>
        <w:rPr>
          <w:b/>
        </w:rPr>
      </w:pPr>
      <w:r>
        <w:rPr>
          <w:b/>
        </w:rPr>
        <w:t>Kompetanse i hver høyde</w:t>
      </w:r>
    </w:p>
    <w:p w:rsidR="007E2140" w:rsidRPr="00B663BA" w:rsidRDefault="007E2140" w:rsidP="00C04655">
      <w:pPr>
        <w:spacing w:line="276" w:lineRule="auto"/>
        <w:rPr>
          <w:b/>
          <w:szCs w:val="22"/>
        </w:rPr>
      </w:pPr>
    </w:p>
    <w:p w:rsidR="00B663BA" w:rsidRDefault="00B663BA" w:rsidP="00C04655">
      <w:pPr>
        <w:spacing w:line="276" w:lineRule="auto"/>
        <w:rPr>
          <w:b/>
          <w:szCs w:val="22"/>
        </w:rPr>
      </w:pPr>
      <w:r>
        <w:rPr>
          <w:b/>
          <w:szCs w:val="22"/>
        </w:rPr>
        <w:t>Hvert høybygg</w:t>
      </w:r>
      <w:r>
        <w:t xml:space="preserve"> </w:t>
      </w:r>
      <w:r>
        <w:rPr>
          <w:b/>
          <w:szCs w:val="22"/>
        </w:rPr>
        <w:t>er unikt – akkurat som den nødvendige forskalingsløsningen. Kompetanse er essensielt når det skal utarbeides en skreddersydd forskalingsløsning. Doka har over 40 års erfaring i selvklatreteknologi på området høybygg og vil i 2017 utføre sitt 1000. høybyggprosjekt. Et av disse prosjektene er for tiden Central Park Tower i New York, det høyeste boligbygget i verden.</w:t>
      </w:r>
    </w:p>
    <w:p w:rsidR="00C04655" w:rsidRPr="00B630BB" w:rsidRDefault="00C04655" w:rsidP="00C70ABB">
      <w:pPr>
        <w:spacing w:line="276" w:lineRule="auto"/>
        <w:rPr>
          <w:b/>
          <w:szCs w:val="22"/>
        </w:rPr>
      </w:pPr>
    </w:p>
    <w:p w:rsidR="00EF20D8" w:rsidRDefault="00D0718E" w:rsidP="00EF20D8">
      <w:pPr>
        <w:spacing w:line="276" w:lineRule="auto"/>
        <w:rPr>
          <w:szCs w:val="22"/>
        </w:rPr>
      </w:pPr>
      <w:r>
        <w:t>Ved begynnelsen av det 21. århundret bor over 50 prosent av befolkningen i byer. Ifølge FNs prognoser vil nesten 70 prosent av verdens befolkning bo i urbane områder i 2050. På grunn av denne trenden stiger antall høybygg i byene, særlig i tett befolkede områder hvor det stadig blir trangere om plassen. Ifølge statistikk fra Council on Tall Buildings and Urban Habitat (CTBUH) ble det på verdensbasis ferdigstilt litt over 1160 bygninger med minst 200 meters høyde i 2016. I 1960 var det kun 15 bygninger. Oppføring av høybygg har endret seg betydelig i løpet av de siste tiårene. Dette stiller både byggherrer og konstruktører overfor særskilte utfordringer. Gjennom mer enn 40 år har Doka utviklet seg til en av verdens fremste eksperter på forskalingsløsninger for høybygg. Uansett hvor høye kravene måtte være, vil Dokas eksperter finne innovative og økonomisk gunstige løsninger som oppfyller de strengeste sikkerhetsstandarder. I år forskaler Doka sitt 1000. høybygg.</w:t>
      </w:r>
    </w:p>
    <w:p w:rsidR="00EF20D8" w:rsidRPr="00716038" w:rsidRDefault="00EF20D8" w:rsidP="00EF20D8">
      <w:pPr>
        <w:spacing w:line="276" w:lineRule="auto"/>
        <w:rPr>
          <w:rFonts w:ascii="HelveticaNeueLTW1G-LtCn" w:hAnsi="HelveticaNeueLTW1G-LtCn" w:cs="HelveticaNeueLTW1G-LtCn"/>
          <w:b/>
          <w:color w:val="auto"/>
          <w:sz w:val="20"/>
          <w:szCs w:val="20"/>
        </w:rPr>
      </w:pPr>
      <w:r>
        <w:rPr>
          <w:rFonts w:ascii="HelveticaNeueLTW1G-LtCn" w:hAnsi="HelveticaNeueLTW1G-LtCn"/>
          <w:color w:val="auto"/>
          <w:sz w:val="20"/>
          <w:szCs w:val="20"/>
        </w:rPr>
        <w:t xml:space="preserve"> </w:t>
      </w:r>
    </w:p>
    <w:p w:rsidR="002217EB" w:rsidRPr="005F6A06" w:rsidRDefault="00532FA9" w:rsidP="00EF20D8">
      <w:pPr>
        <w:spacing w:line="276" w:lineRule="auto"/>
        <w:rPr>
          <w:b/>
          <w:szCs w:val="22"/>
        </w:rPr>
      </w:pPr>
      <w:r>
        <w:rPr>
          <w:b/>
          <w:szCs w:val="22"/>
        </w:rPr>
        <w:t xml:space="preserve">Klatring med kompetanse </w:t>
      </w:r>
    </w:p>
    <w:p w:rsidR="00DF7395" w:rsidRPr="00DF7395" w:rsidRDefault="00F124C0" w:rsidP="00DF7395">
      <w:pPr>
        <w:spacing w:line="276" w:lineRule="auto"/>
        <w:rPr>
          <w:color w:val="auto"/>
        </w:rPr>
      </w:pPr>
      <w:r>
        <w:t xml:space="preserve">Når man skal oppføre verdens høyeste bygninger, som stadig rager høyere opp mot himmelen og forlanger spesielle arkitektoniske plantegninger, er det etterspørsel etter spesialkompetanse på forskalingsteknologi, byggemetodikk og prosjektledelse. Høybygg skiller seg ikke bare fra hverandre når det utseende eller arkitektur, men også med hensyn til bærekonstruksjonens struktur, byggematerialer og byggemetoder. Det som imidlertid er felles for mange av dem, er at de har en eller flere vertikale kjerner av plasstøpt betong. Derfor er det som oftest hensiktsmessig å anvende et klatresystem. Et klatresystem er en kombinasjon av veggforskaling og stillas (eller arbeidsplattform) som løftes til neste støpeseksjon med eller uten kran. </w:t>
      </w:r>
      <w:r>
        <w:rPr>
          <w:color w:val="auto"/>
        </w:rPr>
        <w:t>Når det gjelder virkemåte og design, har det etablert seg tre forskjellige systemer på markedet: profilførte klatresystemer, kranuavhengige klatresystemer med helhydraulisk drift og plattformsystemer.</w:t>
      </w:r>
    </w:p>
    <w:p w:rsidR="00283BB3" w:rsidRDefault="00283BB3" w:rsidP="002217EB">
      <w:pPr>
        <w:spacing w:line="276" w:lineRule="auto"/>
        <w:rPr>
          <w:color w:val="auto"/>
        </w:rPr>
      </w:pPr>
    </w:p>
    <w:p w:rsidR="00EF20D8" w:rsidRDefault="00F84EAC" w:rsidP="00233995">
      <w:pPr>
        <w:spacing w:line="276" w:lineRule="auto"/>
        <w:rPr>
          <w:szCs w:val="22"/>
        </w:rPr>
      </w:pPr>
      <w:r>
        <w:t>Ethvert klatresystem kan ikke brukes til ethvert byggverk. Like viktig er det imidlertid at forskalingskonseptet tar hensyn til kundenes mangfoldige krav, som omfatter de byggmessige rammebetingelsene. Derfor er det avgjørende at forskalingsleverandøren og kunden samarbeider allerede i utviklingsfasen.</w:t>
      </w:r>
    </w:p>
    <w:p w:rsidR="00945FFC" w:rsidRPr="003E3324" w:rsidRDefault="00945FFC" w:rsidP="00233995">
      <w:pPr>
        <w:spacing w:line="276" w:lineRule="auto"/>
        <w:rPr>
          <w:szCs w:val="22"/>
          <w:lang w:val="de-AT"/>
        </w:rPr>
      </w:pPr>
    </w:p>
    <w:p w:rsidR="00DA0DAC" w:rsidRPr="00DA0DAC" w:rsidRDefault="00591F76" w:rsidP="00233995">
      <w:pPr>
        <w:spacing w:line="276" w:lineRule="auto"/>
        <w:rPr>
          <w:b/>
          <w:szCs w:val="22"/>
        </w:rPr>
      </w:pPr>
      <w:r>
        <w:rPr>
          <w:b/>
          <w:szCs w:val="22"/>
        </w:rPr>
        <w:t>Optimale forskalingsløsninger for den enkelte kundes behov</w:t>
      </w:r>
    </w:p>
    <w:p w:rsidR="00A3619D" w:rsidRDefault="00233995" w:rsidP="002217EB">
      <w:pPr>
        <w:spacing w:line="276" w:lineRule="auto"/>
      </w:pPr>
      <w:r>
        <w:lastRenderedPageBreak/>
        <w:t xml:space="preserve">Nøye planlegging er grunnlaget for rask og sikker forskalingsbruk. Her får arbeidsforberedelsene en avgjørende betydning. Faktorer som støpesyklus, byggemetode, type armering og byggeplassinnretningen må tas med i betraktning allerede i planleggingsfasen, for at man skal finne optimale forskalingsløsninger. I henhold til den enkelte kundes krav </w:t>
      </w:r>
      <w:r>
        <w:rPr>
          <w:color w:val="auto"/>
          <w:szCs w:val="22"/>
        </w:rPr>
        <w:t>– enten det er snakk om antall støpeseksjoner, armeringsutførelse eller oppl</w:t>
      </w:r>
      <w:r>
        <w:t xml:space="preserve">æring av byggemannskapene gitt av kvalifisert personell – tilbyr Doka integrerte løsninger for alle deler av plasstøpt betong i høybyggprosjektet. Dette gjelder særlig kjerne, dekke, støtter og fasade. Stillaskonsepter for fasadebygging letter det videre arbeidet. </w:t>
      </w:r>
    </w:p>
    <w:p w:rsidR="002217EB" w:rsidRPr="002217EB" w:rsidRDefault="002217EB" w:rsidP="002217EB">
      <w:pPr>
        <w:spacing w:line="276" w:lineRule="auto"/>
      </w:pPr>
    </w:p>
    <w:p w:rsidR="00A3619D" w:rsidRDefault="00A3619D" w:rsidP="001E78A3">
      <w:pPr>
        <w:spacing w:line="276" w:lineRule="auto"/>
        <w:rPr>
          <w:color w:val="auto"/>
        </w:rPr>
      </w:pPr>
      <w:r>
        <w:rPr>
          <w:color w:val="auto"/>
        </w:rPr>
        <w:t>Jo høyere en bygning er, desto viktigere er sikkerhetsaspektet ved flyttingen. Derfor anvendes det systemer som er forbundet med bygningen under flyttingen og dermed også kan flyttes ved høye vindhastigheter. For å unngå midlertidige fallsteder består en ytterligere utfordring i å flytte flere klatreenheter samtidig. Disse klatresystemene flyttes hydraulisk.</w:t>
      </w:r>
    </w:p>
    <w:p w:rsidR="00EF20D8" w:rsidRPr="002217EB" w:rsidRDefault="00EF20D8" w:rsidP="00EF20D8">
      <w:pPr>
        <w:spacing w:line="276" w:lineRule="auto"/>
        <w:rPr>
          <w:szCs w:val="22"/>
        </w:rPr>
      </w:pPr>
    </w:p>
    <w:p w:rsidR="006B49BA" w:rsidRPr="00F75C3A" w:rsidRDefault="00EF20D8" w:rsidP="00F75C3A">
      <w:pPr>
        <w:spacing w:line="276" w:lineRule="auto"/>
        <w:rPr>
          <w:szCs w:val="22"/>
        </w:rPr>
      </w:pPr>
      <w:r>
        <w:t xml:space="preserve">Over 1000 Doka-teknikere verden over og det globale kompetansesenteret i Amstetten hjelper kunder med å redusere planleggingskonstnadene og med å foreta en vellykket flytting. Det internasjonale nettverket med over 160 salgs- og logistikkavdelinger med effektiv utleieservice og kontinentale logistikkdreiebøker er garantien for rask materialtilgjengelighet i Dokas forskalingsløsninger og "just-in-time"-leveringer. </w:t>
      </w:r>
      <w:r>
        <w:rPr>
          <w:color w:val="auto"/>
        </w:rPr>
        <w:t xml:space="preserve">Et aktuelt eksempel på ekspertenes kompetanse og den suksessrike anvendelsen av Doka-forskalingsløsninger i oppføring av høybygg er Central Park Tower i New York. </w:t>
      </w:r>
    </w:p>
    <w:p w:rsidR="006B49BA" w:rsidRDefault="006B49BA" w:rsidP="00034099">
      <w:pPr>
        <w:rPr>
          <w:b/>
          <w:sz w:val="20"/>
          <w:szCs w:val="20"/>
        </w:rPr>
      </w:pPr>
    </w:p>
    <w:p w:rsidR="00034099" w:rsidRPr="00F55A4E" w:rsidRDefault="00B3057D" w:rsidP="00034099">
      <w:pPr>
        <w:rPr>
          <w:b/>
          <w:sz w:val="20"/>
          <w:szCs w:val="20"/>
        </w:rPr>
      </w:pPr>
      <w:r>
        <w:rPr>
          <w:b/>
          <w:sz w:val="20"/>
          <w:szCs w:val="20"/>
        </w:rPr>
        <w:t>Om Doka:</w:t>
      </w:r>
    </w:p>
    <w:p w:rsidR="00034099" w:rsidRDefault="00034099" w:rsidP="00034099">
      <w:pPr>
        <w:rPr>
          <w:rFonts w:cs="Arial"/>
          <w:sz w:val="20"/>
          <w:szCs w:val="20"/>
        </w:rPr>
      </w:pPr>
      <w:r>
        <w:rPr>
          <w:sz w:val="20"/>
          <w:szCs w:val="20"/>
        </w:rPr>
        <w:t>Doka er et av verdens ledende foretak når det gjelder utvikling, produksjon og salg av forskalingsteknikk innenfor alle områder av byggesektoren. Med over 160 salgs- og logistikkavdelinger i over 70 land har Doka-gruppen et sterkt salgsnettverk og garanterer dermed rask og profesjonell fremskaffelse av materialer og teknisk støtte. Doka-gruppen er et selskap i Umdasch-gruppen og har over 6 200 ansatte på verdensbasis.</w:t>
      </w:r>
    </w:p>
    <w:p w:rsidR="009F7C47" w:rsidRDefault="009F7C47" w:rsidP="00507CE8">
      <w:pPr>
        <w:rPr>
          <w:rFonts w:cs="Arial"/>
          <w:sz w:val="20"/>
          <w:szCs w:val="20"/>
        </w:rPr>
      </w:pPr>
    </w:p>
    <w:p w:rsidR="00507CE8" w:rsidRPr="003A021D" w:rsidRDefault="00507CE8" w:rsidP="00507CE8">
      <w:pPr>
        <w:rPr>
          <w:rFonts w:cs="Arial"/>
          <w:b/>
          <w:sz w:val="20"/>
          <w:szCs w:val="20"/>
        </w:rPr>
      </w:pPr>
      <w:r>
        <w:rPr>
          <w:b/>
          <w:sz w:val="20"/>
          <w:szCs w:val="20"/>
        </w:rPr>
        <w:t>Pressekontakt</w:t>
      </w:r>
    </w:p>
    <w:p w:rsidR="00507CE8" w:rsidRPr="003A021D" w:rsidRDefault="00507CE8" w:rsidP="00507CE8">
      <w:pPr>
        <w:rPr>
          <w:rFonts w:cs="Arial"/>
          <w:b/>
          <w:sz w:val="20"/>
          <w:szCs w:val="20"/>
        </w:rPr>
      </w:pPr>
      <w:r>
        <w:rPr>
          <w:b/>
          <w:sz w:val="20"/>
          <w:szCs w:val="20"/>
        </w:rPr>
        <w:t>Doka Group</w:t>
      </w:r>
    </w:p>
    <w:p w:rsidR="001C3BEC" w:rsidRPr="003A021D" w:rsidRDefault="00247C20" w:rsidP="00507CE8">
      <w:pPr>
        <w:rPr>
          <w:rFonts w:cs="Arial"/>
          <w:bCs/>
          <w:sz w:val="20"/>
          <w:szCs w:val="20"/>
        </w:rPr>
      </w:pPr>
      <w:r>
        <w:rPr>
          <w:bCs/>
          <w:sz w:val="20"/>
          <w:szCs w:val="20"/>
        </w:rPr>
        <w:t>Michael Fuker</w:t>
      </w:r>
    </w:p>
    <w:p w:rsidR="00B02266" w:rsidRPr="00B02266" w:rsidRDefault="00C93C50" w:rsidP="00507CE8">
      <w:pPr>
        <w:rPr>
          <w:rFonts w:cs="Arial"/>
          <w:sz w:val="20"/>
          <w:szCs w:val="20"/>
        </w:rPr>
      </w:pPr>
      <w:r>
        <w:rPr>
          <w:sz w:val="20"/>
          <w:szCs w:val="20"/>
        </w:rPr>
        <w:t>Public Relations Manager</w:t>
      </w:r>
    </w:p>
    <w:p w:rsidR="00F75C3A" w:rsidRPr="00C93C50" w:rsidRDefault="00507CE8" w:rsidP="00034099">
      <w:pPr>
        <w:rPr>
          <w:rFonts w:cs="Arial"/>
          <w:b/>
          <w:bCs/>
          <w:sz w:val="20"/>
          <w:szCs w:val="20"/>
        </w:rPr>
      </w:pPr>
      <w:r>
        <w:rPr>
          <w:b/>
          <w:bCs/>
          <w:sz w:val="20"/>
          <w:szCs w:val="20"/>
        </w:rPr>
        <w:t>M</w:t>
      </w:r>
      <w:r>
        <w:rPr>
          <w:b/>
          <w:bCs/>
          <w:color w:val="1F497D"/>
          <w:sz w:val="20"/>
          <w:szCs w:val="20"/>
        </w:rPr>
        <w:t xml:space="preserve"> </w:t>
      </w:r>
      <w:r>
        <w:rPr>
          <w:bCs/>
          <w:sz w:val="20"/>
          <w:szCs w:val="20"/>
        </w:rPr>
        <w:t>+43/664/9610657</w:t>
      </w:r>
    </w:p>
    <w:p w:rsidR="00C028C2" w:rsidRDefault="0008248A" w:rsidP="00034099">
      <w:pPr>
        <w:rPr>
          <w:rFonts w:cs="Arial"/>
          <w:sz w:val="20"/>
          <w:szCs w:val="20"/>
        </w:rPr>
      </w:pPr>
      <w:hyperlink r:id="rId8" w:history="1">
        <w:r w:rsidR="00214591">
          <w:rPr>
            <w:rStyle w:val="Hyperlink"/>
            <w:sz w:val="20"/>
            <w:szCs w:val="20"/>
          </w:rPr>
          <w:t>press@doka.com</w:t>
        </w:r>
      </w:hyperlink>
      <w:r w:rsidR="00214591">
        <w:rPr>
          <w:sz w:val="20"/>
          <w:szCs w:val="20"/>
        </w:rPr>
        <w:t xml:space="preserve"> </w:t>
      </w:r>
    </w:p>
    <w:p w:rsidR="003A021D" w:rsidRDefault="003A021D" w:rsidP="00034099">
      <w:pPr>
        <w:rPr>
          <w:rFonts w:cs="Arial"/>
          <w:sz w:val="20"/>
          <w:szCs w:val="20"/>
        </w:rPr>
      </w:pPr>
    </w:p>
    <w:p w:rsidR="003A021D" w:rsidRDefault="003A021D" w:rsidP="00034099">
      <w:pPr>
        <w:rPr>
          <w:rFonts w:cs="Arial"/>
          <w:sz w:val="20"/>
          <w:szCs w:val="20"/>
        </w:rPr>
      </w:pPr>
    </w:p>
    <w:p w:rsidR="003A021D" w:rsidRDefault="003A021D" w:rsidP="00034099">
      <w:pPr>
        <w:rPr>
          <w:rFonts w:cs="Arial"/>
          <w:sz w:val="20"/>
          <w:szCs w:val="20"/>
        </w:rPr>
      </w:pPr>
    </w:p>
    <w:tbl>
      <w:tblPr>
        <w:tblW w:w="0" w:type="auto"/>
        <w:tblLook w:val="04A0"/>
      </w:tblPr>
      <w:tblGrid>
        <w:gridCol w:w="3652"/>
        <w:gridCol w:w="5636"/>
      </w:tblGrid>
      <w:tr w:rsidR="003A021D" w:rsidRPr="00DA6020" w:rsidTr="00747C4B">
        <w:tc>
          <w:tcPr>
            <w:tcW w:w="9288" w:type="dxa"/>
            <w:gridSpan w:val="2"/>
          </w:tcPr>
          <w:p w:rsidR="003A021D" w:rsidRPr="0028169D" w:rsidRDefault="003A021D" w:rsidP="00747C4B">
            <w:pPr>
              <w:spacing w:line="276" w:lineRule="auto"/>
              <w:rPr>
                <w:b/>
                <w:sz w:val="20"/>
                <w:szCs w:val="16"/>
              </w:rPr>
            </w:pPr>
            <w:r>
              <w:rPr>
                <w:b/>
                <w:sz w:val="20"/>
                <w:szCs w:val="16"/>
              </w:rPr>
              <w:t>Bilder:</w:t>
            </w:r>
          </w:p>
          <w:p w:rsidR="003A021D" w:rsidRPr="0028169D" w:rsidRDefault="003A021D" w:rsidP="00747C4B">
            <w:pPr>
              <w:rPr>
                <w:rFonts w:cs="Arial"/>
                <w:sz w:val="20"/>
                <w:szCs w:val="20"/>
              </w:rPr>
            </w:pPr>
            <w:r>
              <w:rPr>
                <w:sz w:val="20"/>
                <w:szCs w:val="16"/>
              </w:rPr>
              <w:t>Oppgi kilde ved bruk av bildet.</w:t>
            </w:r>
          </w:p>
          <w:p w:rsidR="003A021D" w:rsidRPr="004C4EAE" w:rsidRDefault="003A021D" w:rsidP="00747C4B">
            <w:pPr>
              <w:spacing w:line="276" w:lineRule="auto"/>
              <w:rPr>
                <w:sz w:val="16"/>
                <w:szCs w:val="16"/>
              </w:rPr>
            </w:pPr>
          </w:p>
        </w:tc>
      </w:tr>
      <w:tr w:rsidR="003A021D" w:rsidRPr="00693B3D" w:rsidTr="003D45EF">
        <w:trPr>
          <w:trHeight w:val="1987"/>
        </w:trPr>
        <w:tc>
          <w:tcPr>
            <w:tcW w:w="3652" w:type="dxa"/>
          </w:tcPr>
          <w:p w:rsidR="003A021D" w:rsidRPr="003D45EF" w:rsidRDefault="008F0B23" w:rsidP="003D45EF">
            <w:pPr>
              <w:spacing w:line="276" w:lineRule="auto"/>
              <w:rPr>
                <w:sz w:val="16"/>
                <w:szCs w:val="16"/>
              </w:rPr>
            </w:pPr>
            <w:r>
              <w:rPr>
                <w:noProof/>
                <w:sz w:val="16"/>
                <w:szCs w:val="16"/>
                <w:lang w:val="en-US"/>
              </w:rPr>
              <w:lastRenderedPageBreak/>
              <w:drawing>
                <wp:inline distT="0" distB="0" distL="0" distR="0">
                  <wp:extent cx="1802765" cy="1198880"/>
                  <wp:effectExtent l="19050" t="0" r="6985" b="0"/>
                  <wp:docPr id="5" name="Bild 2" descr="K:\Public_Relations_and_Communications\Media_Relations\Medienarbeit\2017\Presseinformationen\2017-07 Kompetenz Highrise\Highpoin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7\Presseinformationen\2017-07 Kompetenz Highrise\Highpoint_1.jpg"/>
                          <pic:cNvPicPr>
                            <a:picLocks noChangeAspect="1" noChangeArrowheads="1"/>
                          </pic:cNvPicPr>
                        </pic:nvPicPr>
                        <pic:blipFill>
                          <a:blip r:embed="rId9" cstate="print"/>
                          <a:srcRect/>
                          <a:stretch>
                            <a:fillRect/>
                          </a:stretch>
                        </pic:blipFill>
                        <pic:spPr bwMode="auto">
                          <a:xfrm>
                            <a:off x="0" y="0"/>
                            <a:ext cx="1802765" cy="1198880"/>
                          </a:xfrm>
                          <a:prstGeom prst="rect">
                            <a:avLst/>
                          </a:prstGeom>
                          <a:noFill/>
                          <a:ln w="9525">
                            <a:noFill/>
                            <a:miter lim="800000"/>
                            <a:headEnd/>
                            <a:tailEnd/>
                          </a:ln>
                        </pic:spPr>
                      </pic:pic>
                    </a:graphicData>
                  </a:graphic>
                </wp:inline>
              </w:drawing>
            </w:r>
          </w:p>
        </w:tc>
        <w:tc>
          <w:tcPr>
            <w:tcW w:w="5636" w:type="dxa"/>
          </w:tcPr>
          <w:p w:rsidR="00D41185" w:rsidRDefault="00D41185" w:rsidP="00747C4B">
            <w:pPr>
              <w:spacing w:line="276" w:lineRule="auto"/>
              <w:rPr>
                <w:sz w:val="16"/>
                <w:szCs w:val="16"/>
              </w:rPr>
            </w:pPr>
          </w:p>
          <w:p w:rsidR="00500331" w:rsidRDefault="00500331" w:rsidP="00747C4B">
            <w:pPr>
              <w:spacing w:line="276" w:lineRule="auto"/>
              <w:rPr>
                <w:sz w:val="16"/>
                <w:szCs w:val="16"/>
              </w:rPr>
            </w:pPr>
            <w:r>
              <w:rPr>
                <w:sz w:val="16"/>
                <w:szCs w:val="16"/>
              </w:rPr>
              <w:t>Highpoint London, som har over 450 utleieleiligheter, er 155 meter høyt og dermed en av byens høyeste bygninger.</w:t>
            </w:r>
          </w:p>
          <w:p w:rsidR="00500331" w:rsidRDefault="00500331" w:rsidP="00747C4B">
            <w:pPr>
              <w:spacing w:line="276" w:lineRule="auto"/>
              <w:rPr>
                <w:sz w:val="16"/>
                <w:szCs w:val="16"/>
              </w:rPr>
            </w:pPr>
          </w:p>
          <w:p w:rsidR="003A021D" w:rsidRPr="003B2CFC" w:rsidRDefault="00500331" w:rsidP="00747C4B">
            <w:pPr>
              <w:spacing w:line="276" w:lineRule="auto"/>
              <w:rPr>
                <w:sz w:val="16"/>
                <w:szCs w:val="16"/>
              </w:rPr>
            </w:pPr>
            <w:r>
              <w:rPr>
                <w:sz w:val="16"/>
                <w:szCs w:val="16"/>
              </w:rPr>
              <w:t>Bilder: Highpoint London(c)Doka.jpg</w:t>
            </w:r>
          </w:p>
          <w:p w:rsidR="003A021D" w:rsidRDefault="003A021D" w:rsidP="00747C4B">
            <w:pPr>
              <w:spacing w:line="276" w:lineRule="auto"/>
              <w:rPr>
                <w:sz w:val="16"/>
                <w:szCs w:val="16"/>
              </w:rPr>
            </w:pPr>
            <w:r>
              <w:rPr>
                <w:sz w:val="16"/>
                <w:szCs w:val="16"/>
              </w:rPr>
              <w:t>Copyright: Doka</w:t>
            </w:r>
          </w:p>
          <w:p w:rsidR="008440A1" w:rsidRPr="003B2CFC" w:rsidRDefault="008440A1" w:rsidP="00747C4B">
            <w:pPr>
              <w:spacing w:line="276" w:lineRule="auto"/>
              <w:rPr>
                <w:sz w:val="16"/>
                <w:szCs w:val="16"/>
                <w:lang w:val="en-US"/>
              </w:rPr>
            </w:pPr>
          </w:p>
        </w:tc>
      </w:tr>
      <w:tr w:rsidR="003A021D" w:rsidRPr="00693B3D" w:rsidTr="00747C4B">
        <w:tc>
          <w:tcPr>
            <w:tcW w:w="3652" w:type="dxa"/>
          </w:tcPr>
          <w:p w:rsidR="003A021D" w:rsidRDefault="00235DB4" w:rsidP="00747C4B">
            <w:pPr>
              <w:spacing w:line="276" w:lineRule="auto"/>
              <w:rPr>
                <w:sz w:val="16"/>
                <w:szCs w:val="16"/>
              </w:rPr>
            </w:pPr>
            <w:r>
              <w:rPr>
                <w:noProof/>
                <w:sz w:val="16"/>
                <w:szCs w:val="16"/>
                <w:lang w:val="en-US"/>
              </w:rPr>
              <w:drawing>
                <wp:inline distT="0" distB="0" distL="0" distR="0">
                  <wp:extent cx="1203360" cy="1800000"/>
                  <wp:effectExtent l="19050" t="0" r="0" b="0"/>
                  <wp:docPr id="3" name="Bild 1" descr="C:\Users\mfuker\AppData\Local\Microsoft\Windows\Temporary Internet Files\Content.Word\Tour la Marseillai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fuker\AppData\Local\Microsoft\Windows\Temporary Internet Files\Content.Word\Tour la Marseillaise.jpg"/>
                          <pic:cNvPicPr>
                            <a:picLocks noChangeAspect="1" noChangeArrowheads="1"/>
                          </pic:cNvPicPr>
                        </pic:nvPicPr>
                        <pic:blipFill>
                          <a:blip r:embed="rId10" cstate="print"/>
                          <a:srcRect/>
                          <a:stretch>
                            <a:fillRect/>
                          </a:stretch>
                        </pic:blipFill>
                        <pic:spPr bwMode="auto">
                          <a:xfrm>
                            <a:off x="0" y="0"/>
                            <a:ext cx="1203360" cy="1800000"/>
                          </a:xfrm>
                          <a:prstGeom prst="rect">
                            <a:avLst/>
                          </a:prstGeom>
                          <a:noFill/>
                          <a:ln w="9525">
                            <a:noFill/>
                            <a:miter lim="800000"/>
                            <a:headEnd/>
                            <a:tailEnd/>
                          </a:ln>
                        </pic:spPr>
                      </pic:pic>
                    </a:graphicData>
                  </a:graphic>
                </wp:inline>
              </w:drawing>
            </w:r>
          </w:p>
        </w:tc>
        <w:tc>
          <w:tcPr>
            <w:tcW w:w="5636" w:type="dxa"/>
          </w:tcPr>
          <w:p w:rsidR="008C0D53" w:rsidRDefault="008C0D53" w:rsidP="000D7B0A">
            <w:pPr>
              <w:rPr>
                <w:sz w:val="16"/>
                <w:szCs w:val="16"/>
              </w:rPr>
            </w:pPr>
          </w:p>
          <w:p w:rsidR="000D7B0A" w:rsidRPr="00C73585" w:rsidRDefault="000D7B0A" w:rsidP="000D7B0A">
            <w:pPr>
              <w:rPr>
                <w:sz w:val="16"/>
              </w:rPr>
            </w:pPr>
            <w:r>
              <w:rPr>
                <w:sz w:val="16"/>
              </w:rPr>
              <w:t xml:space="preserve">Med det 135 meter høye kontorbygget Tour la Marseillaise føyer et nytt arkitektonisk høydepunkt seg inn i silhuetten av Marseille. </w:t>
            </w:r>
          </w:p>
          <w:p w:rsidR="000D7B0A" w:rsidRPr="00C73585" w:rsidRDefault="000D7B0A" w:rsidP="000D7B0A">
            <w:pPr>
              <w:rPr>
                <w:sz w:val="16"/>
              </w:rPr>
            </w:pPr>
          </w:p>
          <w:p w:rsidR="000D7B0A" w:rsidRPr="002831DA" w:rsidRDefault="000D7B0A" w:rsidP="000D7B0A">
            <w:pPr>
              <w:rPr>
                <w:sz w:val="16"/>
              </w:rPr>
            </w:pPr>
            <w:r>
              <w:rPr>
                <w:sz w:val="16"/>
              </w:rPr>
              <w:t>Bilder: Tour la Marseillaise(c)Doka.jpg</w:t>
            </w:r>
          </w:p>
          <w:p w:rsidR="003A021D" w:rsidRPr="008C0D53" w:rsidRDefault="000D7B0A" w:rsidP="008C0D53">
            <w:pPr>
              <w:rPr>
                <w:sz w:val="16"/>
              </w:rPr>
            </w:pPr>
            <w:r>
              <w:rPr>
                <w:sz w:val="16"/>
              </w:rPr>
              <w:t>Copyright: Doka</w:t>
            </w:r>
          </w:p>
        </w:tc>
      </w:tr>
      <w:tr w:rsidR="000D7B0A" w:rsidRPr="003C37F4" w:rsidTr="00747C4B">
        <w:tc>
          <w:tcPr>
            <w:tcW w:w="3652" w:type="dxa"/>
          </w:tcPr>
          <w:p w:rsidR="000D7B0A" w:rsidRDefault="008F0B23" w:rsidP="00747C4B">
            <w:pPr>
              <w:spacing w:line="276" w:lineRule="auto"/>
              <w:rPr>
                <w:noProof/>
                <w:sz w:val="16"/>
                <w:szCs w:val="16"/>
              </w:rPr>
            </w:pPr>
            <w:r>
              <w:rPr>
                <w:noProof/>
                <w:sz w:val="16"/>
                <w:szCs w:val="16"/>
                <w:lang w:val="en-US"/>
              </w:rPr>
              <w:drawing>
                <wp:inline distT="0" distB="0" distL="0" distR="0">
                  <wp:extent cx="1198880" cy="1802765"/>
                  <wp:effectExtent l="19050" t="0" r="1270" b="0"/>
                  <wp:docPr id="6" name="Bild 3" descr="K:\Public_Relations_and_Communications\Media_Relations\Medienarbeit\2017\Presseinformationen\2017-07 Kompetenz Highrise\Intercontinen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c_Relations_and_Communications\Media_Relations\Medienarbeit\2017\Presseinformationen\2017-07 Kompetenz Highrise\Intercontinental.jpg"/>
                          <pic:cNvPicPr>
                            <a:picLocks noChangeAspect="1" noChangeArrowheads="1"/>
                          </pic:cNvPicPr>
                        </pic:nvPicPr>
                        <pic:blipFill>
                          <a:blip r:embed="rId11" cstate="print"/>
                          <a:srcRect/>
                          <a:stretch>
                            <a:fillRect/>
                          </a:stretch>
                        </pic:blipFill>
                        <pic:spPr bwMode="auto">
                          <a:xfrm>
                            <a:off x="0" y="0"/>
                            <a:ext cx="1198880" cy="1802765"/>
                          </a:xfrm>
                          <a:prstGeom prst="rect">
                            <a:avLst/>
                          </a:prstGeom>
                          <a:noFill/>
                          <a:ln w="9525">
                            <a:noFill/>
                            <a:miter lim="800000"/>
                            <a:headEnd/>
                            <a:tailEnd/>
                          </a:ln>
                        </pic:spPr>
                      </pic:pic>
                    </a:graphicData>
                  </a:graphic>
                </wp:inline>
              </w:drawing>
            </w:r>
          </w:p>
        </w:tc>
        <w:tc>
          <w:tcPr>
            <w:tcW w:w="5636" w:type="dxa"/>
          </w:tcPr>
          <w:p w:rsidR="000D7B0A" w:rsidRDefault="000D7B0A" w:rsidP="00747C4B">
            <w:pPr>
              <w:spacing w:line="276" w:lineRule="auto"/>
              <w:rPr>
                <w:sz w:val="16"/>
                <w:szCs w:val="16"/>
              </w:rPr>
            </w:pPr>
          </w:p>
          <w:p w:rsidR="00EB04F6" w:rsidRDefault="00EB04F6" w:rsidP="00747C4B">
            <w:pPr>
              <w:spacing w:line="276" w:lineRule="auto"/>
              <w:rPr>
                <w:sz w:val="16"/>
                <w:szCs w:val="16"/>
              </w:rPr>
            </w:pPr>
            <w:r>
              <w:rPr>
                <w:sz w:val="16"/>
                <w:szCs w:val="16"/>
              </w:rPr>
              <w:t>Intercontinental i Ljubljana er ikke bare byens første 5-stjerners hotell, med sine 81 meter er den også en av de høyeste bygningene i Ljubljana.</w:t>
            </w:r>
          </w:p>
          <w:p w:rsidR="00EB04F6" w:rsidRDefault="00EB04F6" w:rsidP="00747C4B">
            <w:pPr>
              <w:spacing w:line="276" w:lineRule="auto"/>
              <w:rPr>
                <w:sz w:val="16"/>
                <w:szCs w:val="16"/>
              </w:rPr>
            </w:pPr>
          </w:p>
          <w:p w:rsidR="003C37F4" w:rsidRDefault="00EB04F6" w:rsidP="00747C4B">
            <w:pPr>
              <w:spacing w:line="276" w:lineRule="auto"/>
              <w:rPr>
                <w:bCs/>
                <w:color w:val="auto"/>
                <w:sz w:val="16"/>
                <w:szCs w:val="16"/>
              </w:rPr>
            </w:pPr>
            <w:r>
              <w:rPr>
                <w:sz w:val="16"/>
                <w:szCs w:val="16"/>
              </w:rPr>
              <w:t>Bilder: Hotel Intercontinental(c)Doka.jpg</w:t>
            </w:r>
            <w:r>
              <w:rPr>
                <w:bCs/>
                <w:color w:val="auto"/>
                <w:sz w:val="16"/>
                <w:szCs w:val="16"/>
              </w:rPr>
              <w:t xml:space="preserve"> </w:t>
            </w:r>
          </w:p>
          <w:p w:rsidR="00EB04F6" w:rsidRPr="003C37F4" w:rsidRDefault="003C37F4" w:rsidP="00747C4B">
            <w:pPr>
              <w:spacing w:line="276" w:lineRule="auto"/>
              <w:rPr>
                <w:sz w:val="16"/>
                <w:szCs w:val="16"/>
              </w:rPr>
            </w:pPr>
            <w:r>
              <w:rPr>
                <w:bCs/>
                <w:color w:val="auto"/>
                <w:sz w:val="16"/>
                <w:szCs w:val="16"/>
              </w:rPr>
              <w:t>Entreprenør: CGP d.d. Novo mesto</w:t>
            </w:r>
          </w:p>
          <w:p w:rsidR="00EB04F6" w:rsidRPr="003C37F4" w:rsidRDefault="00EB04F6" w:rsidP="00747C4B">
            <w:pPr>
              <w:spacing w:line="276" w:lineRule="auto"/>
              <w:rPr>
                <w:color w:val="auto"/>
                <w:sz w:val="16"/>
                <w:szCs w:val="16"/>
              </w:rPr>
            </w:pPr>
            <w:r>
              <w:rPr>
                <w:sz w:val="16"/>
                <w:szCs w:val="16"/>
              </w:rPr>
              <w:t>Copyright: Doka</w:t>
            </w:r>
          </w:p>
          <w:p w:rsidR="003C37F4" w:rsidRPr="003C37F4" w:rsidRDefault="003C37F4" w:rsidP="00747C4B">
            <w:pPr>
              <w:spacing w:line="276" w:lineRule="auto"/>
              <w:rPr>
                <w:sz w:val="16"/>
                <w:szCs w:val="16"/>
                <w:lang w:val="en-US"/>
              </w:rPr>
            </w:pPr>
          </w:p>
        </w:tc>
      </w:tr>
      <w:tr w:rsidR="00FC2542" w:rsidRPr="00C35E5B" w:rsidTr="00747C4B">
        <w:tc>
          <w:tcPr>
            <w:tcW w:w="3652" w:type="dxa"/>
          </w:tcPr>
          <w:p w:rsidR="00994A9D" w:rsidRPr="00E57807" w:rsidRDefault="008E35E0" w:rsidP="00747C4B">
            <w:pPr>
              <w:spacing w:line="276" w:lineRule="auto"/>
              <w:rPr>
                <w:sz w:val="16"/>
                <w:szCs w:val="16"/>
              </w:rPr>
            </w:pPr>
            <w:r>
              <w:rPr>
                <w:noProof/>
                <w:sz w:val="16"/>
                <w:szCs w:val="16"/>
                <w:lang w:val="en-US"/>
              </w:rPr>
              <w:drawing>
                <wp:inline distT="0" distB="0" distL="0" distR="0">
                  <wp:extent cx="1200785" cy="1804670"/>
                  <wp:effectExtent l="19050" t="0" r="0" b="0"/>
                  <wp:docPr id="1" name="Bild 1" descr="K:\Public_Relations_and_Communications\Media_Relations\Medienarbeit\2017\Presseinformationen\2017-07 Kompetenz Highrise\Fotos\Fotos Word\Doka_2016-01_GEWA-Tower_IM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7\Presseinformationen\2017-07 Kompetenz Highrise\Fotos\Fotos Word\Doka_2016-01_GEWA-Tower_IMG02.jpg"/>
                          <pic:cNvPicPr>
                            <a:picLocks noChangeAspect="1" noChangeArrowheads="1"/>
                          </pic:cNvPicPr>
                        </pic:nvPicPr>
                        <pic:blipFill>
                          <a:blip r:embed="rId12" cstate="print"/>
                          <a:srcRect/>
                          <a:stretch>
                            <a:fillRect/>
                          </a:stretch>
                        </pic:blipFill>
                        <pic:spPr bwMode="auto">
                          <a:xfrm>
                            <a:off x="0" y="0"/>
                            <a:ext cx="1200785" cy="1804670"/>
                          </a:xfrm>
                          <a:prstGeom prst="rect">
                            <a:avLst/>
                          </a:prstGeom>
                          <a:noFill/>
                          <a:ln w="9525">
                            <a:noFill/>
                            <a:miter lim="800000"/>
                            <a:headEnd/>
                            <a:tailEnd/>
                          </a:ln>
                        </pic:spPr>
                      </pic:pic>
                    </a:graphicData>
                  </a:graphic>
                </wp:inline>
              </w:drawing>
            </w:r>
          </w:p>
        </w:tc>
        <w:tc>
          <w:tcPr>
            <w:tcW w:w="5636" w:type="dxa"/>
          </w:tcPr>
          <w:p w:rsidR="008E35E0" w:rsidRDefault="008E35E0" w:rsidP="00C35E5B">
            <w:pPr>
              <w:spacing w:line="276" w:lineRule="auto"/>
              <w:rPr>
                <w:sz w:val="16"/>
                <w:szCs w:val="16"/>
              </w:rPr>
            </w:pPr>
          </w:p>
          <w:p w:rsidR="00FC2542" w:rsidRDefault="00C35E5B" w:rsidP="00C35E5B">
            <w:pPr>
              <w:spacing w:line="276" w:lineRule="auto"/>
              <w:rPr>
                <w:sz w:val="16"/>
                <w:szCs w:val="16"/>
              </w:rPr>
            </w:pPr>
            <w:r>
              <w:rPr>
                <w:sz w:val="16"/>
                <w:szCs w:val="16"/>
              </w:rPr>
              <w:t>GEWA-Tower i Fellbach ved Stuttgart er den høyeste boligbygningen i Baden-Württemberg. Dermed er det Tysklands tredje høyeste bolighus med sin høyde på 107 meter.</w:t>
            </w:r>
          </w:p>
          <w:p w:rsidR="008E35E0" w:rsidRDefault="008E35E0" w:rsidP="00C35E5B">
            <w:pPr>
              <w:spacing w:line="276" w:lineRule="auto"/>
              <w:rPr>
                <w:sz w:val="16"/>
                <w:szCs w:val="16"/>
              </w:rPr>
            </w:pPr>
          </w:p>
          <w:p w:rsidR="008E35E0" w:rsidRDefault="008E35E0" w:rsidP="00C35E5B">
            <w:pPr>
              <w:spacing w:line="276" w:lineRule="auto"/>
              <w:rPr>
                <w:sz w:val="16"/>
                <w:szCs w:val="16"/>
              </w:rPr>
            </w:pPr>
          </w:p>
          <w:p w:rsidR="008E35E0" w:rsidRPr="007A694E" w:rsidRDefault="008E35E0" w:rsidP="008E35E0">
            <w:pPr>
              <w:rPr>
                <w:sz w:val="16"/>
              </w:rPr>
            </w:pPr>
            <w:r>
              <w:rPr>
                <w:sz w:val="16"/>
              </w:rPr>
              <w:t>Bilder: GEWA-Tower(c)Doka.jpg</w:t>
            </w:r>
          </w:p>
          <w:p w:rsidR="008E35E0" w:rsidRDefault="008E35E0" w:rsidP="008E35E0">
            <w:pPr>
              <w:spacing w:line="276" w:lineRule="auto"/>
              <w:rPr>
                <w:sz w:val="16"/>
                <w:szCs w:val="16"/>
              </w:rPr>
            </w:pPr>
            <w:r>
              <w:rPr>
                <w:sz w:val="16"/>
              </w:rPr>
              <w:t>Copyright: Doka</w:t>
            </w:r>
          </w:p>
        </w:tc>
      </w:tr>
      <w:tr w:rsidR="003A021D" w:rsidRPr="00693B3D" w:rsidTr="00747C4B">
        <w:tc>
          <w:tcPr>
            <w:tcW w:w="3652" w:type="dxa"/>
          </w:tcPr>
          <w:p w:rsidR="003A021D" w:rsidRDefault="00235DB4" w:rsidP="00747C4B">
            <w:pPr>
              <w:spacing w:line="276" w:lineRule="auto"/>
              <w:rPr>
                <w:noProof/>
                <w:sz w:val="16"/>
                <w:szCs w:val="16"/>
              </w:rPr>
            </w:pPr>
            <w:r>
              <w:rPr>
                <w:noProof/>
                <w:sz w:val="16"/>
                <w:szCs w:val="16"/>
                <w:lang w:val="en-US"/>
              </w:rPr>
              <w:lastRenderedPageBreak/>
              <w:drawing>
                <wp:inline distT="0" distB="0" distL="0" distR="0">
                  <wp:extent cx="1954530" cy="1303020"/>
                  <wp:effectExtent l="0" t="0" r="0" b="0"/>
                  <wp:docPr id="4" name="Grafik 1" descr="C:\Users\preidl\AppData\Local\Microsoft\Windows\INetCache\Content.Word\Central Park South (3)(c)AignerManf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reidl\AppData\Local\Microsoft\Windows\INetCache\Content.Word\Central Park South (3)(c)AignerManfred.jpg"/>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54530" cy="1303020"/>
                          </a:xfrm>
                          <a:prstGeom prst="rect">
                            <a:avLst/>
                          </a:prstGeom>
                          <a:noFill/>
                          <a:ln>
                            <a:noFill/>
                          </a:ln>
                        </pic:spPr>
                      </pic:pic>
                    </a:graphicData>
                  </a:graphic>
                </wp:inline>
              </w:drawing>
            </w:r>
            <w:r>
              <w:rPr>
                <w:sz w:val="16"/>
                <w:szCs w:val="16"/>
              </w:rPr>
              <w:t xml:space="preserve">                                                                                                                                                                                                                                                                                                                                                                                                                                                                                                                                                                                                        </w:t>
            </w:r>
          </w:p>
        </w:tc>
        <w:tc>
          <w:tcPr>
            <w:tcW w:w="5636" w:type="dxa"/>
          </w:tcPr>
          <w:p w:rsidR="003A021D" w:rsidRDefault="003A021D" w:rsidP="00747C4B">
            <w:pPr>
              <w:spacing w:line="276" w:lineRule="auto"/>
              <w:rPr>
                <w:sz w:val="16"/>
                <w:szCs w:val="16"/>
              </w:rPr>
            </w:pPr>
          </w:p>
          <w:p w:rsidR="000D7B0A" w:rsidRDefault="00573B10" w:rsidP="00573B10">
            <w:pPr>
              <w:spacing w:line="276" w:lineRule="auto"/>
              <w:rPr>
                <w:bCs/>
                <w:sz w:val="16"/>
                <w:szCs w:val="16"/>
              </w:rPr>
            </w:pPr>
            <w:r>
              <w:rPr>
                <w:bCs/>
                <w:sz w:val="16"/>
                <w:szCs w:val="16"/>
              </w:rPr>
              <w:t>Med 472 meter er Central Park Tower i New York verdens høyeste boligbygning, og her vil det bli en spektakulær utsikt over byen og området rundt.</w:t>
            </w:r>
          </w:p>
          <w:p w:rsidR="00573B10" w:rsidRPr="00747C4B" w:rsidRDefault="00573B10" w:rsidP="00573B10">
            <w:pPr>
              <w:spacing w:line="276" w:lineRule="auto"/>
              <w:rPr>
                <w:bCs/>
                <w:sz w:val="16"/>
                <w:szCs w:val="16"/>
              </w:rPr>
            </w:pPr>
          </w:p>
          <w:p w:rsidR="00747C4B" w:rsidRPr="00994A9D" w:rsidRDefault="00747C4B" w:rsidP="00747C4B">
            <w:pPr>
              <w:spacing w:line="276" w:lineRule="auto"/>
              <w:rPr>
                <w:sz w:val="16"/>
                <w:szCs w:val="16"/>
              </w:rPr>
            </w:pPr>
            <w:r>
              <w:rPr>
                <w:sz w:val="16"/>
                <w:szCs w:val="16"/>
              </w:rPr>
              <w:t xml:space="preserve">Bilder: </w:t>
            </w:r>
            <w:r>
              <w:rPr>
                <w:bCs/>
                <w:sz w:val="16"/>
                <w:szCs w:val="16"/>
              </w:rPr>
              <w:t>Central Park Tower</w:t>
            </w:r>
            <w:r>
              <w:rPr>
                <w:sz w:val="16"/>
              </w:rPr>
              <w:t>(c)</w:t>
            </w:r>
            <w:r>
              <w:rPr>
                <w:bCs/>
                <w:sz w:val="16"/>
                <w:szCs w:val="16"/>
              </w:rPr>
              <w:t>Doka.jpg</w:t>
            </w:r>
          </w:p>
          <w:p w:rsidR="00747C4B" w:rsidRPr="00747C4B" w:rsidRDefault="00747C4B" w:rsidP="00747C4B">
            <w:pPr>
              <w:spacing w:line="276" w:lineRule="auto"/>
              <w:rPr>
                <w:sz w:val="16"/>
                <w:szCs w:val="16"/>
              </w:rPr>
            </w:pPr>
            <w:r>
              <w:rPr>
                <w:sz w:val="16"/>
                <w:szCs w:val="16"/>
              </w:rPr>
              <w:t>Copyright: Doka GmbH</w:t>
            </w:r>
          </w:p>
          <w:p w:rsidR="003A021D" w:rsidRPr="00DA6020" w:rsidRDefault="003A021D" w:rsidP="00747C4B">
            <w:pPr>
              <w:spacing w:line="276" w:lineRule="auto"/>
              <w:rPr>
                <w:sz w:val="16"/>
                <w:szCs w:val="16"/>
                <w:lang w:val="en-US"/>
              </w:rPr>
            </w:pPr>
          </w:p>
        </w:tc>
      </w:tr>
      <w:tr w:rsidR="00244453" w:rsidRPr="00747788" w:rsidTr="00747C4B">
        <w:tc>
          <w:tcPr>
            <w:tcW w:w="3652" w:type="dxa"/>
          </w:tcPr>
          <w:p w:rsidR="00BF381F" w:rsidRPr="00235DB4" w:rsidRDefault="00A200DC" w:rsidP="00747C4B">
            <w:pPr>
              <w:spacing w:line="276" w:lineRule="auto"/>
              <w:rPr>
                <w:noProof/>
                <w:sz w:val="16"/>
                <w:szCs w:val="16"/>
              </w:rPr>
            </w:pPr>
            <w:r>
              <w:rPr>
                <w:noProof/>
                <w:sz w:val="16"/>
                <w:szCs w:val="16"/>
                <w:lang w:val="en-US"/>
              </w:rPr>
              <w:drawing>
                <wp:inline distT="0" distB="0" distL="0" distR="0">
                  <wp:extent cx="1800000" cy="1196949"/>
                  <wp:effectExtent l="19050" t="0" r="0" b="0"/>
                  <wp:docPr id="9" name="Bild 3" descr="K:\Public_Relations_and_Communications\Media_Relations\Medienarbeit\2017\Presseinformationen\2017-07 Kompetenz Highrise\Fotos\IMG_9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c_Relations_and_Communications\Media_Relations\Medienarbeit\2017\Presseinformationen\2017-07 Kompetenz Highrise\Fotos\IMG_9222.JPG"/>
                          <pic:cNvPicPr>
                            <a:picLocks noChangeAspect="1" noChangeArrowheads="1"/>
                          </pic:cNvPicPr>
                        </pic:nvPicPr>
                        <pic:blipFill>
                          <a:blip r:embed="rId14" cstate="print"/>
                          <a:srcRect/>
                          <a:stretch>
                            <a:fillRect/>
                          </a:stretch>
                        </pic:blipFill>
                        <pic:spPr bwMode="auto">
                          <a:xfrm>
                            <a:off x="0" y="0"/>
                            <a:ext cx="1800000" cy="1196949"/>
                          </a:xfrm>
                          <a:prstGeom prst="rect">
                            <a:avLst/>
                          </a:prstGeom>
                          <a:noFill/>
                          <a:ln w="9525">
                            <a:noFill/>
                            <a:miter lim="800000"/>
                            <a:headEnd/>
                            <a:tailEnd/>
                          </a:ln>
                        </pic:spPr>
                      </pic:pic>
                    </a:graphicData>
                  </a:graphic>
                </wp:inline>
              </w:drawing>
            </w:r>
          </w:p>
        </w:tc>
        <w:tc>
          <w:tcPr>
            <w:tcW w:w="5636" w:type="dxa"/>
          </w:tcPr>
          <w:p w:rsidR="00385AA2" w:rsidRDefault="00385AA2" w:rsidP="00385AA2">
            <w:pPr>
              <w:spacing w:line="276" w:lineRule="auto"/>
              <w:rPr>
                <w:sz w:val="16"/>
                <w:szCs w:val="16"/>
              </w:rPr>
            </w:pPr>
          </w:p>
          <w:p w:rsidR="00385AA2" w:rsidRPr="00385AA2" w:rsidRDefault="00385AA2" w:rsidP="00385AA2">
            <w:pPr>
              <w:spacing w:line="276" w:lineRule="auto"/>
              <w:rPr>
                <w:sz w:val="16"/>
                <w:szCs w:val="16"/>
              </w:rPr>
            </w:pPr>
            <w:r>
              <w:rPr>
                <w:sz w:val="16"/>
                <w:szCs w:val="16"/>
              </w:rPr>
              <w:t>Kuala Lumpurs skyline får et nytt arkitektonisk høydepunkt i form av Exchange 106. Bygningen på 492 meter vil bli av de høyeste bygningene i Asia.</w:t>
            </w:r>
          </w:p>
          <w:p w:rsidR="00244453" w:rsidRPr="00BF381F" w:rsidRDefault="00244453" w:rsidP="00385AA2">
            <w:pPr>
              <w:spacing w:line="276" w:lineRule="auto"/>
              <w:rPr>
                <w:sz w:val="16"/>
                <w:szCs w:val="16"/>
              </w:rPr>
            </w:pPr>
          </w:p>
          <w:p w:rsidR="00385AA2" w:rsidRPr="00DA6020" w:rsidRDefault="00BF381F" w:rsidP="00385AA2">
            <w:pPr>
              <w:spacing w:line="276" w:lineRule="auto"/>
              <w:rPr>
                <w:sz w:val="16"/>
                <w:szCs w:val="16"/>
              </w:rPr>
            </w:pPr>
            <w:r>
              <w:rPr>
                <w:sz w:val="16"/>
                <w:szCs w:val="16"/>
              </w:rPr>
              <w:t>Bilder: The Exchange 106</w:t>
            </w:r>
            <w:r>
              <w:rPr>
                <w:sz w:val="16"/>
              </w:rPr>
              <w:t>(c)</w:t>
            </w:r>
            <w:r>
              <w:rPr>
                <w:sz w:val="16"/>
                <w:szCs w:val="16"/>
              </w:rPr>
              <w:t>Doka.jpg</w:t>
            </w:r>
          </w:p>
          <w:p w:rsidR="00385AA2" w:rsidRPr="00DA6020" w:rsidRDefault="00385AA2" w:rsidP="00385AA2">
            <w:pPr>
              <w:spacing w:line="276" w:lineRule="auto"/>
              <w:rPr>
                <w:sz w:val="16"/>
                <w:szCs w:val="16"/>
              </w:rPr>
            </w:pPr>
            <w:r>
              <w:rPr>
                <w:sz w:val="16"/>
              </w:rPr>
              <w:t>Copyright: Doka GmbH</w:t>
            </w:r>
          </w:p>
          <w:p w:rsidR="00385AA2" w:rsidRDefault="00385AA2" w:rsidP="00385AA2">
            <w:pPr>
              <w:spacing w:line="276" w:lineRule="auto"/>
              <w:rPr>
                <w:sz w:val="16"/>
                <w:szCs w:val="16"/>
                <w:lang w:val="en-US"/>
              </w:rPr>
            </w:pPr>
          </w:p>
          <w:p w:rsidR="00385AA2" w:rsidRPr="00385AA2" w:rsidRDefault="00385AA2" w:rsidP="00385AA2">
            <w:pPr>
              <w:spacing w:line="276" w:lineRule="auto"/>
              <w:rPr>
                <w:sz w:val="16"/>
                <w:szCs w:val="16"/>
                <w:lang w:val="en-US"/>
              </w:rPr>
            </w:pPr>
          </w:p>
        </w:tc>
      </w:tr>
      <w:tr w:rsidR="003A021D" w:rsidRPr="003F36FE" w:rsidTr="00747C4B">
        <w:tc>
          <w:tcPr>
            <w:tcW w:w="3652" w:type="dxa"/>
          </w:tcPr>
          <w:p w:rsidR="003A021D" w:rsidRPr="000D7B0A" w:rsidRDefault="00D06BAD" w:rsidP="00747C4B">
            <w:pPr>
              <w:spacing w:line="276" w:lineRule="auto"/>
              <w:rPr>
                <w:noProof/>
                <w:sz w:val="16"/>
                <w:szCs w:val="16"/>
              </w:rPr>
            </w:pPr>
            <w:r>
              <w:rPr>
                <w:noProof/>
                <w:sz w:val="16"/>
                <w:szCs w:val="16"/>
                <w:lang w:val="en-US"/>
              </w:rPr>
              <w:drawing>
                <wp:inline distT="0" distB="0" distL="0" distR="0">
                  <wp:extent cx="1802765" cy="1198880"/>
                  <wp:effectExtent l="19050" t="0" r="6985" b="0"/>
                  <wp:docPr id="7" name="Bild 4" descr="K:\Public_Relations_and_Communications\Media_Relations\Medienarbeit\2017\Presseinformationen\2017-07 Kompetenz Highrise\Fotos\Fotos Word\The Hills Dub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Public_Relations_and_Communications\Media_Relations\Medienarbeit\2017\Presseinformationen\2017-07 Kompetenz Highrise\Fotos\Fotos Word\The Hills Dubai.jpg"/>
                          <pic:cNvPicPr>
                            <a:picLocks noChangeAspect="1" noChangeArrowheads="1"/>
                          </pic:cNvPicPr>
                        </pic:nvPicPr>
                        <pic:blipFill>
                          <a:blip r:embed="rId15" cstate="print"/>
                          <a:srcRect/>
                          <a:stretch>
                            <a:fillRect/>
                          </a:stretch>
                        </pic:blipFill>
                        <pic:spPr bwMode="auto">
                          <a:xfrm>
                            <a:off x="0" y="0"/>
                            <a:ext cx="1802765" cy="1198880"/>
                          </a:xfrm>
                          <a:prstGeom prst="rect">
                            <a:avLst/>
                          </a:prstGeom>
                          <a:noFill/>
                          <a:ln w="9525">
                            <a:noFill/>
                            <a:miter lim="800000"/>
                            <a:headEnd/>
                            <a:tailEnd/>
                          </a:ln>
                        </pic:spPr>
                      </pic:pic>
                    </a:graphicData>
                  </a:graphic>
                </wp:inline>
              </w:drawing>
            </w:r>
          </w:p>
        </w:tc>
        <w:tc>
          <w:tcPr>
            <w:tcW w:w="5636" w:type="dxa"/>
          </w:tcPr>
          <w:p w:rsidR="00357964" w:rsidRDefault="00357964" w:rsidP="006775AD">
            <w:pPr>
              <w:spacing w:line="276" w:lineRule="auto"/>
              <w:rPr>
                <w:sz w:val="16"/>
                <w:szCs w:val="16"/>
                <w:lang w:val="en-US"/>
              </w:rPr>
            </w:pPr>
          </w:p>
          <w:p w:rsidR="003A021D" w:rsidRPr="006775AD" w:rsidRDefault="006775AD" w:rsidP="006775AD">
            <w:pPr>
              <w:spacing w:line="276" w:lineRule="auto"/>
              <w:rPr>
                <w:sz w:val="16"/>
                <w:szCs w:val="16"/>
              </w:rPr>
            </w:pPr>
            <w:r>
              <w:rPr>
                <w:sz w:val="16"/>
                <w:szCs w:val="16"/>
              </w:rPr>
              <w:t>I den sørvestlige enden av Emirates Golf Club i Dubai oppføres luksusboligkomplekset "The Hills".</w:t>
            </w:r>
          </w:p>
          <w:p w:rsidR="003A021D" w:rsidRPr="006775AD" w:rsidRDefault="003A021D" w:rsidP="00747C4B">
            <w:pPr>
              <w:spacing w:line="276" w:lineRule="auto"/>
              <w:rPr>
                <w:sz w:val="16"/>
                <w:szCs w:val="16"/>
              </w:rPr>
            </w:pPr>
          </w:p>
          <w:p w:rsidR="003A021D" w:rsidRPr="00DA6020" w:rsidRDefault="00F01680" w:rsidP="00747C4B">
            <w:pPr>
              <w:spacing w:line="276" w:lineRule="auto"/>
              <w:rPr>
                <w:sz w:val="16"/>
                <w:szCs w:val="16"/>
              </w:rPr>
            </w:pPr>
            <w:r>
              <w:rPr>
                <w:sz w:val="16"/>
                <w:szCs w:val="16"/>
              </w:rPr>
              <w:t>Bilder: The Hills</w:t>
            </w:r>
            <w:r>
              <w:rPr>
                <w:sz w:val="16"/>
              </w:rPr>
              <w:t>(c)</w:t>
            </w:r>
            <w:r>
              <w:rPr>
                <w:sz w:val="16"/>
                <w:szCs w:val="16"/>
              </w:rPr>
              <w:t>Doka.jpg</w:t>
            </w:r>
          </w:p>
          <w:p w:rsidR="003A021D" w:rsidRPr="00DA6020" w:rsidRDefault="003A021D" w:rsidP="00747C4B">
            <w:pPr>
              <w:spacing w:line="276" w:lineRule="auto"/>
              <w:rPr>
                <w:sz w:val="16"/>
                <w:szCs w:val="16"/>
              </w:rPr>
            </w:pPr>
            <w:r>
              <w:rPr>
                <w:sz w:val="16"/>
              </w:rPr>
              <w:t>Copyright: Doka GmbH</w:t>
            </w:r>
          </w:p>
          <w:p w:rsidR="003A021D" w:rsidRPr="00DA6020" w:rsidRDefault="003A021D" w:rsidP="00747C4B">
            <w:pPr>
              <w:spacing w:line="276" w:lineRule="auto"/>
              <w:rPr>
                <w:sz w:val="16"/>
                <w:szCs w:val="16"/>
                <w:lang w:val="en-US"/>
              </w:rPr>
            </w:pPr>
          </w:p>
        </w:tc>
      </w:tr>
    </w:tbl>
    <w:p w:rsidR="003A021D" w:rsidRPr="003A021D" w:rsidRDefault="003A021D" w:rsidP="00034099">
      <w:pPr>
        <w:rPr>
          <w:rFonts w:cs="Arial"/>
          <w:b/>
          <w:bCs/>
          <w:sz w:val="20"/>
          <w:szCs w:val="20"/>
          <w:lang w:val="en-US"/>
        </w:rPr>
      </w:pPr>
    </w:p>
    <w:sectPr w:rsidR="003A021D" w:rsidRPr="003A021D" w:rsidSect="001F4501">
      <w:headerReference w:type="even" r:id="rId16"/>
      <w:headerReference w:type="default" r:id="rId17"/>
      <w:footerReference w:type="even" r:id="rId18"/>
      <w:footerReference w:type="default" r:id="rId19"/>
      <w:headerReference w:type="first" r:id="rId20"/>
      <w:footerReference w:type="first" r:id="rId21"/>
      <w:pgSz w:w="11906" w:h="16838" w:code="9"/>
      <w:pgMar w:top="2552" w:right="1134" w:bottom="1985" w:left="1418" w:header="709" w:footer="567" w:gutter="0"/>
      <w:cols w:space="708"/>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00DC" w:rsidRDefault="00A200DC">
      <w:r>
        <w:separator/>
      </w:r>
    </w:p>
  </w:endnote>
  <w:endnote w:type="continuationSeparator" w:id="0">
    <w:p w:rsidR="00A200DC" w:rsidRDefault="00A200D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W1G-LtC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1E6F" w:rsidRDefault="009D1E6F">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1E6F" w:rsidRDefault="009D1E6F">
    <w:pPr>
      <w:pStyle w:val="Fuzeil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1E6F" w:rsidRDefault="009D1E6F">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00DC" w:rsidRDefault="00A200DC">
      <w:r>
        <w:separator/>
      </w:r>
    </w:p>
  </w:footnote>
  <w:footnote w:type="continuationSeparator" w:id="0">
    <w:p w:rsidR="00A200DC" w:rsidRDefault="00A200D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1E6F" w:rsidRDefault="009D1E6F">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00DC" w:rsidRDefault="00A200DC" w:rsidP="008F2ADD">
    <w:pPr>
      <w:pStyle w:val="Kopfzeile"/>
      <w:tabs>
        <w:tab w:val="left" w:pos="269"/>
      </w:tabs>
    </w:pPr>
    <w:r>
      <w:rPr>
        <w:b/>
        <w:noProof/>
        <w:lang w:val="en-US"/>
      </w:rPr>
      <w:drawing>
        <wp:anchor distT="0" distB="0" distL="114300" distR="114300" simplePos="0" relativeHeight="251659264" behindDoc="0" locked="0" layoutInCell="1" allowOverlap="1">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sidR="009D1E6F">
      <w:t>Pressemelding / september</w:t>
    </w:r>
    <w:r>
      <w:t xml:space="preserve"> 2017</w:t>
    </w:r>
  </w:p>
  <w:p w:rsidR="00A200DC" w:rsidRDefault="00A200DC" w:rsidP="008F2ADD">
    <w:pPr>
      <w:pStyle w:val="Kopfzeile"/>
    </w:pPr>
  </w:p>
  <w:p w:rsidR="00A200DC" w:rsidRPr="00E43CB4" w:rsidRDefault="00A200DC" w:rsidP="008F2ADD">
    <w:pPr>
      <w:pStyle w:val="Kopfzeile"/>
      <w:jc w:val="right"/>
    </w:pPr>
  </w:p>
  <w:p w:rsidR="00A200DC" w:rsidRDefault="00A200DC" w:rsidP="008F2ADD">
    <w:pPr>
      <w:pStyle w:val="Kopfzeile"/>
      <w:jc w:val="right"/>
    </w:pPr>
  </w:p>
  <w:p w:rsidR="00A200DC" w:rsidRDefault="00A200DC">
    <w:pPr>
      <w:pStyle w:val="Kopfzeil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1E6F" w:rsidRDefault="009D1E6F">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nsid w:val="02D2747F"/>
    <w:multiLevelType w:val="multilevel"/>
    <w:tmpl w:val="1EFCEC30"/>
    <w:numStyleLink w:val="ListemitAufzhlungszeichenDoka"/>
  </w:abstractNum>
  <w:abstractNum w:abstractNumId="5">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9">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8884CE1"/>
    <w:multiLevelType w:val="hybridMultilevel"/>
    <w:tmpl w:val="4EF0E4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73E6691"/>
    <w:multiLevelType w:val="hybridMultilevel"/>
    <w:tmpl w:val="36FCF2C6"/>
    <w:lvl w:ilvl="0" w:tplc="4AA643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9FA2DFD"/>
    <w:multiLevelType w:val="hybridMultilevel"/>
    <w:tmpl w:val="250C8540"/>
    <w:lvl w:ilvl="0" w:tplc="E856AF22">
      <w:start w:val="20"/>
      <w:numFmt w:val="bullet"/>
      <w:lvlText w:val="-"/>
      <w:lvlJc w:val="left"/>
      <w:pPr>
        <w:ind w:left="405" w:hanging="360"/>
      </w:pPr>
      <w:rPr>
        <w:rFonts w:ascii="Arial" w:eastAsia="Times New Roman" w:hAnsi="Arial"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23">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nsid w:val="56CC2AD2"/>
    <w:multiLevelType w:val="multilevel"/>
    <w:tmpl w:val="1EFCEC30"/>
    <w:numStyleLink w:val="ListemitAufzhlungszeichenDoka"/>
  </w:abstractNum>
  <w:abstractNum w:abstractNumId="27">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4">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3"/>
  </w:num>
  <w:num w:numId="2">
    <w:abstractNumId w:val="7"/>
  </w:num>
  <w:num w:numId="3">
    <w:abstractNumId w:val="19"/>
  </w:num>
  <w:num w:numId="4">
    <w:abstractNumId w:val="8"/>
  </w:num>
  <w:num w:numId="5">
    <w:abstractNumId w:val="24"/>
  </w:num>
  <w:num w:numId="6">
    <w:abstractNumId w:val="13"/>
  </w:num>
  <w:num w:numId="7">
    <w:abstractNumId w:val="15"/>
  </w:num>
  <w:num w:numId="8">
    <w:abstractNumId w:val="5"/>
  </w:num>
  <w:num w:numId="9">
    <w:abstractNumId w:val="23"/>
  </w:num>
  <w:num w:numId="10">
    <w:abstractNumId w:val="12"/>
  </w:num>
  <w:num w:numId="11">
    <w:abstractNumId w:val="34"/>
  </w:num>
  <w:num w:numId="12">
    <w:abstractNumId w:val="16"/>
  </w:num>
  <w:num w:numId="13">
    <w:abstractNumId w:val="0"/>
  </w:num>
  <w:num w:numId="14">
    <w:abstractNumId w:val="32"/>
  </w:num>
  <w:num w:numId="15">
    <w:abstractNumId w:val="29"/>
  </w:num>
  <w:num w:numId="16">
    <w:abstractNumId w:val="18"/>
  </w:num>
  <w:num w:numId="17">
    <w:abstractNumId w:val="2"/>
  </w:num>
  <w:num w:numId="18">
    <w:abstractNumId w:val="28"/>
  </w:num>
  <w:num w:numId="19">
    <w:abstractNumId w:val="3"/>
  </w:num>
  <w:num w:numId="20">
    <w:abstractNumId w:val="27"/>
  </w:num>
  <w:num w:numId="21">
    <w:abstractNumId w:val="1"/>
  </w:num>
  <w:num w:numId="22">
    <w:abstractNumId w:val="6"/>
  </w:num>
  <w:num w:numId="23">
    <w:abstractNumId w:val="11"/>
  </w:num>
  <w:num w:numId="24">
    <w:abstractNumId w:val="21"/>
  </w:num>
  <w:num w:numId="25">
    <w:abstractNumId w:val="25"/>
  </w:num>
  <w:num w:numId="26">
    <w:abstractNumId w:val="9"/>
  </w:num>
  <w:num w:numId="27">
    <w:abstractNumId w:val="30"/>
  </w:num>
  <w:num w:numId="28">
    <w:abstractNumId w:val="31"/>
  </w:num>
  <w:num w:numId="29">
    <w:abstractNumId w:val="17"/>
  </w:num>
  <w:num w:numId="30">
    <w:abstractNumId w:val="14"/>
  </w:num>
  <w:num w:numId="31">
    <w:abstractNumId w:val="26"/>
  </w:num>
  <w:num w:numId="32">
    <w:abstractNumId w:val="4"/>
  </w:num>
  <w:num w:numId="33">
    <w:abstractNumId w:val="22"/>
  </w:num>
  <w:num w:numId="34">
    <w:abstractNumId w:val="20"/>
  </w:num>
  <w:num w:numId="35">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stylePaneFormatFilter w:val="5424"/>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125953"/>
  </w:hdrShapeDefaults>
  <w:footnotePr>
    <w:footnote w:id="-1"/>
    <w:footnote w:id="0"/>
  </w:footnotePr>
  <w:endnotePr>
    <w:endnote w:id="-1"/>
    <w:endnote w:id="0"/>
  </w:endnotePr>
  <w:compat/>
  <w:rsids>
    <w:rsidRoot w:val="004C707F"/>
    <w:rsid w:val="00001DF8"/>
    <w:rsid w:val="00001E5D"/>
    <w:rsid w:val="000035C4"/>
    <w:rsid w:val="00005A66"/>
    <w:rsid w:val="00005BA4"/>
    <w:rsid w:val="00005CA4"/>
    <w:rsid w:val="00006FAA"/>
    <w:rsid w:val="00010B19"/>
    <w:rsid w:val="0001239A"/>
    <w:rsid w:val="00015F66"/>
    <w:rsid w:val="000164FB"/>
    <w:rsid w:val="00016591"/>
    <w:rsid w:val="00017E35"/>
    <w:rsid w:val="000206DB"/>
    <w:rsid w:val="00021A76"/>
    <w:rsid w:val="00022C99"/>
    <w:rsid w:val="00023479"/>
    <w:rsid w:val="00024616"/>
    <w:rsid w:val="000251EE"/>
    <w:rsid w:val="00030363"/>
    <w:rsid w:val="00031903"/>
    <w:rsid w:val="00032029"/>
    <w:rsid w:val="00032FE1"/>
    <w:rsid w:val="00034099"/>
    <w:rsid w:val="00034B75"/>
    <w:rsid w:val="000358AF"/>
    <w:rsid w:val="00037AC8"/>
    <w:rsid w:val="00041FC1"/>
    <w:rsid w:val="0004435C"/>
    <w:rsid w:val="000457D7"/>
    <w:rsid w:val="00047A5E"/>
    <w:rsid w:val="00056EC9"/>
    <w:rsid w:val="0006146F"/>
    <w:rsid w:val="000632DB"/>
    <w:rsid w:val="00066095"/>
    <w:rsid w:val="00072B49"/>
    <w:rsid w:val="00073AC8"/>
    <w:rsid w:val="00074603"/>
    <w:rsid w:val="0007693E"/>
    <w:rsid w:val="00076DB5"/>
    <w:rsid w:val="000773D4"/>
    <w:rsid w:val="00081B55"/>
    <w:rsid w:val="0008248A"/>
    <w:rsid w:val="00090489"/>
    <w:rsid w:val="000931C4"/>
    <w:rsid w:val="000934DE"/>
    <w:rsid w:val="00094E70"/>
    <w:rsid w:val="0009777F"/>
    <w:rsid w:val="000A27A6"/>
    <w:rsid w:val="000A3429"/>
    <w:rsid w:val="000A4782"/>
    <w:rsid w:val="000A6BF4"/>
    <w:rsid w:val="000B1E8D"/>
    <w:rsid w:val="000B7ED1"/>
    <w:rsid w:val="000C09CF"/>
    <w:rsid w:val="000C0E0C"/>
    <w:rsid w:val="000C58F0"/>
    <w:rsid w:val="000C7784"/>
    <w:rsid w:val="000D09F0"/>
    <w:rsid w:val="000D0CDF"/>
    <w:rsid w:val="000D3FE3"/>
    <w:rsid w:val="000D6636"/>
    <w:rsid w:val="000D7048"/>
    <w:rsid w:val="000D7B0A"/>
    <w:rsid w:val="000E0B2E"/>
    <w:rsid w:val="000E278F"/>
    <w:rsid w:val="000E3A57"/>
    <w:rsid w:val="000F0A26"/>
    <w:rsid w:val="000F27D8"/>
    <w:rsid w:val="000F2860"/>
    <w:rsid w:val="000F4755"/>
    <w:rsid w:val="000F6CA7"/>
    <w:rsid w:val="000F76A4"/>
    <w:rsid w:val="00101154"/>
    <w:rsid w:val="00101991"/>
    <w:rsid w:val="0010480C"/>
    <w:rsid w:val="00105C9E"/>
    <w:rsid w:val="001061E2"/>
    <w:rsid w:val="00106E60"/>
    <w:rsid w:val="00106E89"/>
    <w:rsid w:val="0010701D"/>
    <w:rsid w:val="00107B3C"/>
    <w:rsid w:val="001121D1"/>
    <w:rsid w:val="0011300D"/>
    <w:rsid w:val="0011670E"/>
    <w:rsid w:val="00121825"/>
    <w:rsid w:val="00123655"/>
    <w:rsid w:val="001249C4"/>
    <w:rsid w:val="0012522B"/>
    <w:rsid w:val="0012691E"/>
    <w:rsid w:val="001333F8"/>
    <w:rsid w:val="0013361D"/>
    <w:rsid w:val="00137475"/>
    <w:rsid w:val="001377E1"/>
    <w:rsid w:val="00141D03"/>
    <w:rsid w:val="00142BE3"/>
    <w:rsid w:val="00144E26"/>
    <w:rsid w:val="0014515C"/>
    <w:rsid w:val="00145700"/>
    <w:rsid w:val="00146707"/>
    <w:rsid w:val="00146978"/>
    <w:rsid w:val="00146991"/>
    <w:rsid w:val="0015009A"/>
    <w:rsid w:val="00150667"/>
    <w:rsid w:val="00150745"/>
    <w:rsid w:val="00151116"/>
    <w:rsid w:val="00151804"/>
    <w:rsid w:val="0015238A"/>
    <w:rsid w:val="001529C9"/>
    <w:rsid w:val="001529D7"/>
    <w:rsid w:val="001532FF"/>
    <w:rsid w:val="001550EB"/>
    <w:rsid w:val="0015605F"/>
    <w:rsid w:val="00161368"/>
    <w:rsid w:val="001623A2"/>
    <w:rsid w:val="001629CD"/>
    <w:rsid w:val="00163E88"/>
    <w:rsid w:val="00165E1B"/>
    <w:rsid w:val="00167DC2"/>
    <w:rsid w:val="00175E56"/>
    <w:rsid w:val="00180E8A"/>
    <w:rsid w:val="00182235"/>
    <w:rsid w:val="0018399C"/>
    <w:rsid w:val="00186CB1"/>
    <w:rsid w:val="001875BA"/>
    <w:rsid w:val="00190C01"/>
    <w:rsid w:val="00191504"/>
    <w:rsid w:val="00191F1C"/>
    <w:rsid w:val="00192350"/>
    <w:rsid w:val="00192844"/>
    <w:rsid w:val="0019341F"/>
    <w:rsid w:val="001A1266"/>
    <w:rsid w:val="001A3C69"/>
    <w:rsid w:val="001A5C2E"/>
    <w:rsid w:val="001B24D6"/>
    <w:rsid w:val="001B4989"/>
    <w:rsid w:val="001B504D"/>
    <w:rsid w:val="001B66E8"/>
    <w:rsid w:val="001B6ABF"/>
    <w:rsid w:val="001B6EF0"/>
    <w:rsid w:val="001C2B26"/>
    <w:rsid w:val="001C3BEC"/>
    <w:rsid w:val="001C731A"/>
    <w:rsid w:val="001D1B09"/>
    <w:rsid w:val="001D39D7"/>
    <w:rsid w:val="001D775D"/>
    <w:rsid w:val="001E30AD"/>
    <w:rsid w:val="001E5C32"/>
    <w:rsid w:val="001E625B"/>
    <w:rsid w:val="001E78A3"/>
    <w:rsid w:val="001F0607"/>
    <w:rsid w:val="001F1553"/>
    <w:rsid w:val="001F4501"/>
    <w:rsid w:val="001F67C2"/>
    <w:rsid w:val="0020125E"/>
    <w:rsid w:val="002046D6"/>
    <w:rsid w:val="00206107"/>
    <w:rsid w:val="00212D77"/>
    <w:rsid w:val="00214591"/>
    <w:rsid w:val="00215461"/>
    <w:rsid w:val="00216EBD"/>
    <w:rsid w:val="00217920"/>
    <w:rsid w:val="00217D53"/>
    <w:rsid w:val="002217EB"/>
    <w:rsid w:val="00222918"/>
    <w:rsid w:val="0022681D"/>
    <w:rsid w:val="002273BC"/>
    <w:rsid w:val="00231CD8"/>
    <w:rsid w:val="0023241C"/>
    <w:rsid w:val="00233995"/>
    <w:rsid w:val="002349EA"/>
    <w:rsid w:val="00235DB4"/>
    <w:rsid w:val="00241FFC"/>
    <w:rsid w:val="0024357E"/>
    <w:rsid w:val="00244453"/>
    <w:rsid w:val="00245B95"/>
    <w:rsid w:val="00247C20"/>
    <w:rsid w:val="002518A2"/>
    <w:rsid w:val="0025551E"/>
    <w:rsid w:val="00255FAB"/>
    <w:rsid w:val="00260020"/>
    <w:rsid w:val="002622A5"/>
    <w:rsid w:val="00263386"/>
    <w:rsid w:val="00263FB8"/>
    <w:rsid w:val="002647DE"/>
    <w:rsid w:val="002671B6"/>
    <w:rsid w:val="00270768"/>
    <w:rsid w:val="00271C96"/>
    <w:rsid w:val="00277CE6"/>
    <w:rsid w:val="0028229F"/>
    <w:rsid w:val="0028370E"/>
    <w:rsid w:val="00283BB3"/>
    <w:rsid w:val="002878DF"/>
    <w:rsid w:val="00287BDE"/>
    <w:rsid w:val="00292958"/>
    <w:rsid w:val="002955F7"/>
    <w:rsid w:val="00295804"/>
    <w:rsid w:val="00296B63"/>
    <w:rsid w:val="00297904"/>
    <w:rsid w:val="002A0E48"/>
    <w:rsid w:val="002A1FB5"/>
    <w:rsid w:val="002A28A8"/>
    <w:rsid w:val="002A3351"/>
    <w:rsid w:val="002A48AA"/>
    <w:rsid w:val="002A48CD"/>
    <w:rsid w:val="002A560B"/>
    <w:rsid w:val="002A6293"/>
    <w:rsid w:val="002A6736"/>
    <w:rsid w:val="002A7BE0"/>
    <w:rsid w:val="002B0A77"/>
    <w:rsid w:val="002B1823"/>
    <w:rsid w:val="002B2195"/>
    <w:rsid w:val="002B7048"/>
    <w:rsid w:val="002B77BD"/>
    <w:rsid w:val="002C3B72"/>
    <w:rsid w:val="002C4E8E"/>
    <w:rsid w:val="002C79F1"/>
    <w:rsid w:val="002C7F0F"/>
    <w:rsid w:val="002D1CC4"/>
    <w:rsid w:val="002D5383"/>
    <w:rsid w:val="002D7E07"/>
    <w:rsid w:val="002E691F"/>
    <w:rsid w:val="002E6E8D"/>
    <w:rsid w:val="002E7289"/>
    <w:rsid w:val="002F0538"/>
    <w:rsid w:val="002F14EE"/>
    <w:rsid w:val="002F35D8"/>
    <w:rsid w:val="002F46EC"/>
    <w:rsid w:val="002F6989"/>
    <w:rsid w:val="0030061E"/>
    <w:rsid w:val="003008C0"/>
    <w:rsid w:val="003021C4"/>
    <w:rsid w:val="00306A48"/>
    <w:rsid w:val="00311762"/>
    <w:rsid w:val="00315C2D"/>
    <w:rsid w:val="00316391"/>
    <w:rsid w:val="003201F6"/>
    <w:rsid w:val="003214AF"/>
    <w:rsid w:val="003254C3"/>
    <w:rsid w:val="00325611"/>
    <w:rsid w:val="00326CF9"/>
    <w:rsid w:val="00330693"/>
    <w:rsid w:val="003364BD"/>
    <w:rsid w:val="003422A5"/>
    <w:rsid w:val="00342B97"/>
    <w:rsid w:val="00343325"/>
    <w:rsid w:val="003436AE"/>
    <w:rsid w:val="0035288B"/>
    <w:rsid w:val="00357964"/>
    <w:rsid w:val="00357C2A"/>
    <w:rsid w:val="003605A8"/>
    <w:rsid w:val="00361C4D"/>
    <w:rsid w:val="003631D1"/>
    <w:rsid w:val="00363D32"/>
    <w:rsid w:val="00366A3C"/>
    <w:rsid w:val="00371B67"/>
    <w:rsid w:val="00375913"/>
    <w:rsid w:val="003764D7"/>
    <w:rsid w:val="00377102"/>
    <w:rsid w:val="00380A98"/>
    <w:rsid w:val="00383394"/>
    <w:rsid w:val="00385AA2"/>
    <w:rsid w:val="00386AD2"/>
    <w:rsid w:val="00390D71"/>
    <w:rsid w:val="00393CDB"/>
    <w:rsid w:val="00394288"/>
    <w:rsid w:val="003A021D"/>
    <w:rsid w:val="003A5B0C"/>
    <w:rsid w:val="003A79FC"/>
    <w:rsid w:val="003B3FCB"/>
    <w:rsid w:val="003B7D96"/>
    <w:rsid w:val="003C37F4"/>
    <w:rsid w:val="003C3BC9"/>
    <w:rsid w:val="003C58F6"/>
    <w:rsid w:val="003C7768"/>
    <w:rsid w:val="003D2149"/>
    <w:rsid w:val="003D372D"/>
    <w:rsid w:val="003D45EF"/>
    <w:rsid w:val="003E0E0F"/>
    <w:rsid w:val="003E1B7C"/>
    <w:rsid w:val="003E3324"/>
    <w:rsid w:val="003E4C28"/>
    <w:rsid w:val="003E4C7C"/>
    <w:rsid w:val="003E62DA"/>
    <w:rsid w:val="003E679B"/>
    <w:rsid w:val="003F1085"/>
    <w:rsid w:val="003F1419"/>
    <w:rsid w:val="003F1F52"/>
    <w:rsid w:val="003F2D41"/>
    <w:rsid w:val="003F3629"/>
    <w:rsid w:val="003F36FE"/>
    <w:rsid w:val="003F3E4E"/>
    <w:rsid w:val="003F5E30"/>
    <w:rsid w:val="003F6267"/>
    <w:rsid w:val="003F627A"/>
    <w:rsid w:val="00404451"/>
    <w:rsid w:val="00404F59"/>
    <w:rsid w:val="00405A09"/>
    <w:rsid w:val="00410041"/>
    <w:rsid w:val="00414531"/>
    <w:rsid w:val="004165BC"/>
    <w:rsid w:val="004235FA"/>
    <w:rsid w:val="00424EB9"/>
    <w:rsid w:val="00426905"/>
    <w:rsid w:val="004270A9"/>
    <w:rsid w:val="00430B08"/>
    <w:rsid w:val="004324E4"/>
    <w:rsid w:val="004361E6"/>
    <w:rsid w:val="004454F6"/>
    <w:rsid w:val="00451B53"/>
    <w:rsid w:val="00452CE5"/>
    <w:rsid w:val="00455EFF"/>
    <w:rsid w:val="00461AEE"/>
    <w:rsid w:val="00463017"/>
    <w:rsid w:val="004639B7"/>
    <w:rsid w:val="00463CD4"/>
    <w:rsid w:val="0046479F"/>
    <w:rsid w:val="00464B9F"/>
    <w:rsid w:val="00465090"/>
    <w:rsid w:val="0046617D"/>
    <w:rsid w:val="00474177"/>
    <w:rsid w:val="004758D0"/>
    <w:rsid w:val="004772EF"/>
    <w:rsid w:val="004819BA"/>
    <w:rsid w:val="0048426A"/>
    <w:rsid w:val="00485ECC"/>
    <w:rsid w:val="00490D95"/>
    <w:rsid w:val="00491B05"/>
    <w:rsid w:val="00492D60"/>
    <w:rsid w:val="004A0EF2"/>
    <w:rsid w:val="004A11B0"/>
    <w:rsid w:val="004A3FD6"/>
    <w:rsid w:val="004A454D"/>
    <w:rsid w:val="004B0024"/>
    <w:rsid w:val="004C0D81"/>
    <w:rsid w:val="004C47F8"/>
    <w:rsid w:val="004C4A28"/>
    <w:rsid w:val="004C51BD"/>
    <w:rsid w:val="004C56CF"/>
    <w:rsid w:val="004C6876"/>
    <w:rsid w:val="004C707F"/>
    <w:rsid w:val="004C7B88"/>
    <w:rsid w:val="004D0745"/>
    <w:rsid w:val="004E01A8"/>
    <w:rsid w:val="004E5EFD"/>
    <w:rsid w:val="004F0C47"/>
    <w:rsid w:val="004F13B7"/>
    <w:rsid w:val="004F1622"/>
    <w:rsid w:val="00500331"/>
    <w:rsid w:val="005021D2"/>
    <w:rsid w:val="00502444"/>
    <w:rsid w:val="00503ED8"/>
    <w:rsid w:val="005040D1"/>
    <w:rsid w:val="00507CE8"/>
    <w:rsid w:val="00514C50"/>
    <w:rsid w:val="005151C6"/>
    <w:rsid w:val="0051534D"/>
    <w:rsid w:val="00516CCC"/>
    <w:rsid w:val="00520907"/>
    <w:rsid w:val="00522770"/>
    <w:rsid w:val="00524491"/>
    <w:rsid w:val="005257A0"/>
    <w:rsid w:val="005264B6"/>
    <w:rsid w:val="00531302"/>
    <w:rsid w:val="005326E6"/>
    <w:rsid w:val="005329A4"/>
    <w:rsid w:val="00532FA9"/>
    <w:rsid w:val="00533B9D"/>
    <w:rsid w:val="00541415"/>
    <w:rsid w:val="005428D8"/>
    <w:rsid w:val="00545FB8"/>
    <w:rsid w:val="00547C6D"/>
    <w:rsid w:val="00561564"/>
    <w:rsid w:val="00564AF1"/>
    <w:rsid w:val="0056548D"/>
    <w:rsid w:val="005673DA"/>
    <w:rsid w:val="00573B10"/>
    <w:rsid w:val="00575CDA"/>
    <w:rsid w:val="00584432"/>
    <w:rsid w:val="0059089E"/>
    <w:rsid w:val="00591F76"/>
    <w:rsid w:val="00592DA5"/>
    <w:rsid w:val="005942F6"/>
    <w:rsid w:val="00594A33"/>
    <w:rsid w:val="00595B1F"/>
    <w:rsid w:val="00595B2B"/>
    <w:rsid w:val="005965EE"/>
    <w:rsid w:val="005A57D3"/>
    <w:rsid w:val="005B3210"/>
    <w:rsid w:val="005B6039"/>
    <w:rsid w:val="005B70A3"/>
    <w:rsid w:val="005C05EF"/>
    <w:rsid w:val="005C1176"/>
    <w:rsid w:val="005C4ED3"/>
    <w:rsid w:val="005D114F"/>
    <w:rsid w:val="005D590E"/>
    <w:rsid w:val="005E4BFA"/>
    <w:rsid w:val="005F0E38"/>
    <w:rsid w:val="005F4E67"/>
    <w:rsid w:val="005F6A06"/>
    <w:rsid w:val="0060389F"/>
    <w:rsid w:val="00605ED4"/>
    <w:rsid w:val="00607D2C"/>
    <w:rsid w:val="00616559"/>
    <w:rsid w:val="006174CA"/>
    <w:rsid w:val="00624324"/>
    <w:rsid w:val="00624AF4"/>
    <w:rsid w:val="00624DEB"/>
    <w:rsid w:val="0062650A"/>
    <w:rsid w:val="00626A22"/>
    <w:rsid w:val="00627061"/>
    <w:rsid w:val="00630D0C"/>
    <w:rsid w:val="00631BE6"/>
    <w:rsid w:val="00633874"/>
    <w:rsid w:val="00636028"/>
    <w:rsid w:val="00636A80"/>
    <w:rsid w:val="00640166"/>
    <w:rsid w:val="006414C4"/>
    <w:rsid w:val="00641955"/>
    <w:rsid w:val="00644708"/>
    <w:rsid w:val="006459F5"/>
    <w:rsid w:val="00646FD2"/>
    <w:rsid w:val="0064730F"/>
    <w:rsid w:val="006515B2"/>
    <w:rsid w:val="00653266"/>
    <w:rsid w:val="006542E6"/>
    <w:rsid w:val="00655F40"/>
    <w:rsid w:val="006568C4"/>
    <w:rsid w:val="00665F31"/>
    <w:rsid w:val="00667197"/>
    <w:rsid w:val="00672656"/>
    <w:rsid w:val="006735BC"/>
    <w:rsid w:val="00673A41"/>
    <w:rsid w:val="006748FC"/>
    <w:rsid w:val="00676BB2"/>
    <w:rsid w:val="006775AD"/>
    <w:rsid w:val="00681411"/>
    <w:rsid w:val="00687F2A"/>
    <w:rsid w:val="00692CCA"/>
    <w:rsid w:val="00694EEE"/>
    <w:rsid w:val="00695639"/>
    <w:rsid w:val="0069670A"/>
    <w:rsid w:val="006A380E"/>
    <w:rsid w:val="006A4302"/>
    <w:rsid w:val="006A7FEA"/>
    <w:rsid w:val="006B1C40"/>
    <w:rsid w:val="006B44CA"/>
    <w:rsid w:val="006B49BA"/>
    <w:rsid w:val="006B53A2"/>
    <w:rsid w:val="006B6F45"/>
    <w:rsid w:val="006C0CAA"/>
    <w:rsid w:val="006C5FFE"/>
    <w:rsid w:val="006D11DF"/>
    <w:rsid w:val="006D2F3F"/>
    <w:rsid w:val="006D33AE"/>
    <w:rsid w:val="006D4BCB"/>
    <w:rsid w:val="006D598E"/>
    <w:rsid w:val="006E1201"/>
    <w:rsid w:val="006E1D40"/>
    <w:rsid w:val="006E6F12"/>
    <w:rsid w:val="006F005D"/>
    <w:rsid w:val="006F4ED2"/>
    <w:rsid w:val="006F54ED"/>
    <w:rsid w:val="00700FC1"/>
    <w:rsid w:val="00701B60"/>
    <w:rsid w:val="00704218"/>
    <w:rsid w:val="00704329"/>
    <w:rsid w:val="007107B6"/>
    <w:rsid w:val="00712661"/>
    <w:rsid w:val="00712D4B"/>
    <w:rsid w:val="00715803"/>
    <w:rsid w:val="00715E95"/>
    <w:rsid w:val="00716038"/>
    <w:rsid w:val="00722415"/>
    <w:rsid w:val="00723FBC"/>
    <w:rsid w:val="00736003"/>
    <w:rsid w:val="007405E7"/>
    <w:rsid w:val="00740B84"/>
    <w:rsid w:val="00743D15"/>
    <w:rsid w:val="0074421F"/>
    <w:rsid w:val="0074461C"/>
    <w:rsid w:val="0074598C"/>
    <w:rsid w:val="00745CFC"/>
    <w:rsid w:val="00745EC2"/>
    <w:rsid w:val="007468BB"/>
    <w:rsid w:val="007470D4"/>
    <w:rsid w:val="00747788"/>
    <w:rsid w:val="00747C4B"/>
    <w:rsid w:val="0075418C"/>
    <w:rsid w:val="00754317"/>
    <w:rsid w:val="00754E98"/>
    <w:rsid w:val="007619EF"/>
    <w:rsid w:val="00761C3D"/>
    <w:rsid w:val="00765BFB"/>
    <w:rsid w:val="007714DC"/>
    <w:rsid w:val="0077278C"/>
    <w:rsid w:val="007773A8"/>
    <w:rsid w:val="007802C6"/>
    <w:rsid w:val="00782A7A"/>
    <w:rsid w:val="0078579B"/>
    <w:rsid w:val="00786FD8"/>
    <w:rsid w:val="007A2609"/>
    <w:rsid w:val="007A3EAD"/>
    <w:rsid w:val="007A4A33"/>
    <w:rsid w:val="007A694E"/>
    <w:rsid w:val="007B060B"/>
    <w:rsid w:val="007B112B"/>
    <w:rsid w:val="007B27E3"/>
    <w:rsid w:val="007B3145"/>
    <w:rsid w:val="007B36E6"/>
    <w:rsid w:val="007B5A4D"/>
    <w:rsid w:val="007C1F7C"/>
    <w:rsid w:val="007C4F72"/>
    <w:rsid w:val="007D0F3B"/>
    <w:rsid w:val="007D13FB"/>
    <w:rsid w:val="007D28A3"/>
    <w:rsid w:val="007D3045"/>
    <w:rsid w:val="007D3940"/>
    <w:rsid w:val="007D7D03"/>
    <w:rsid w:val="007E09C2"/>
    <w:rsid w:val="007E2140"/>
    <w:rsid w:val="007E243A"/>
    <w:rsid w:val="007E4931"/>
    <w:rsid w:val="007F1B5C"/>
    <w:rsid w:val="007F6EE0"/>
    <w:rsid w:val="007F7905"/>
    <w:rsid w:val="00802C3F"/>
    <w:rsid w:val="00803DE6"/>
    <w:rsid w:val="008071E0"/>
    <w:rsid w:val="00807495"/>
    <w:rsid w:val="008122E0"/>
    <w:rsid w:val="008168B4"/>
    <w:rsid w:val="00820494"/>
    <w:rsid w:val="008213BD"/>
    <w:rsid w:val="00823F8B"/>
    <w:rsid w:val="0082546A"/>
    <w:rsid w:val="00826274"/>
    <w:rsid w:val="00826BB2"/>
    <w:rsid w:val="00832A6E"/>
    <w:rsid w:val="00833554"/>
    <w:rsid w:val="00835A55"/>
    <w:rsid w:val="008367C3"/>
    <w:rsid w:val="008406A8"/>
    <w:rsid w:val="00840F99"/>
    <w:rsid w:val="00841263"/>
    <w:rsid w:val="0084262F"/>
    <w:rsid w:val="00842784"/>
    <w:rsid w:val="008440A1"/>
    <w:rsid w:val="0084602A"/>
    <w:rsid w:val="00853D71"/>
    <w:rsid w:val="00854258"/>
    <w:rsid w:val="00856656"/>
    <w:rsid w:val="00861C28"/>
    <w:rsid w:val="00862648"/>
    <w:rsid w:val="00870FC4"/>
    <w:rsid w:val="00873B14"/>
    <w:rsid w:val="0087423F"/>
    <w:rsid w:val="008779CD"/>
    <w:rsid w:val="008850B1"/>
    <w:rsid w:val="0088590F"/>
    <w:rsid w:val="00891372"/>
    <w:rsid w:val="008925E9"/>
    <w:rsid w:val="00892BD9"/>
    <w:rsid w:val="008938F0"/>
    <w:rsid w:val="00894A7D"/>
    <w:rsid w:val="00894E04"/>
    <w:rsid w:val="00894F76"/>
    <w:rsid w:val="00896412"/>
    <w:rsid w:val="008A7C47"/>
    <w:rsid w:val="008B0235"/>
    <w:rsid w:val="008B0E4B"/>
    <w:rsid w:val="008B23C4"/>
    <w:rsid w:val="008B2454"/>
    <w:rsid w:val="008B745B"/>
    <w:rsid w:val="008B7FD4"/>
    <w:rsid w:val="008C0D53"/>
    <w:rsid w:val="008C24F7"/>
    <w:rsid w:val="008C261F"/>
    <w:rsid w:val="008C3FD8"/>
    <w:rsid w:val="008C504E"/>
    <w:rsid w:val="008C7981"/>
    <w:rsid w:val="008D1E1D"/>
    <w:rsid w:val="008D258A"/>
    <w:rsid w:val="008D3FB1"/>
    <w:rsid w:val="008E01B1"/>
    <w:rsid w:val="008E22AA"/>
    <w:rsid w:val="008E3032"/>
    <w:rsid w:val="008E35E0"/>
    <w:rsid w:val="008E371D"/>
    <w:rsid w:val="008E3802"/>
    <w:rsid w:val="008F0B23"/>
    <w:rsid w:val="008F2ADD"/>
    <w:rsid w:val="008F2D79"/>
    <w:rsid w:val="008F3B76"/>
    <w:rsid w:val="008F3EB3"/>
    <w:rsid w:val="0090010C"/>
    <w:rsid w:val="009030E3"/>
    <w:rsid w:val="009036B6"/>
    <w:rsid w:val="009058AA"/>
    <w:rsid w:val="009059DD"/>
    <w:rsid w:val="0091326C"/>
    <w:rsid w:val="0091399C"/>
    <w:rsid w:val="009142E4"/>
    <w:rsid w:val="00917C06"/>
    <w:rsid w:val="00917C45"/>
    <w:rsid w:val="00922EA2"/>
    <w:rsid w:val="009249D5"/>
    <w:rsid w:val="00925429"/>
    <w:rsid w:val="0093020F"/>
    <w:rsid w:val="009355F1"/>
    <w:rsid w:val="009454D7"/>
    <w:rsid w:val="00945993"/>
    <w:rsid w:val="00945ACF"/>
    <w:rsid w:val="00945FFC"/>
    <w:rsid w:val="00946116"/>
    <w:rsid w:val="00946D97"/>
    <w:rsid w:val="00947EF7"/>
    <w:rsid w:val="00950FA8"/>
    <w:rsid w:val="00955FDB"/>
    <w:rsid w:val="009641AB"/>
    <w:rsid w:val="00965F0E"/>
    <w:rsid w:val="00966E67"/>
    <w:rsid w:val="00971C3F"/>
    <w:rsid w:val="00971E7C"/>
    <w:rsid w:val="00973CDC"/>
    <w:rsid w:val="00975006"/>
    <w:rsid w:val="009753D5"/>
    <w:rsid w:val="009804B3"/>
    <w:rsid w:val="009808C0"/>
    <w:rsid w:val="00980B19"/>
    <w:rsid w:val="00982A14"/>
    <w:rsid w:val="0098308A"/>
    <w:rsid w:val="009834DC"/>
    <w:rsid w:val="0098677B"/>
    <w:rsid w:val="00992DAA"/>
    <w:rsid w:val="00994A9D"/>
    <w:rsid w:val="009A00A8"/>
    <w:rsid w:val="009A0EB6"/>
    <w:rsid w:val="009A1B3F"/>
    <w:rsid w:val="009A1EB7"/>
    <w:rsid w:val="009A2A80"/>
    <w:rsid w:val="009A3E1E"/>
    <w:rsid w:val="009A3F03"/>
    <w:rsid w:val="009A3FB0"/>
    <w:rsid w:val="009B5FA1"/>
    <w:rsid w:val="009C0E5A"/>
    <w:rsid w:val="009C2637"/>
    <w:rsid w:val="009C36EC"/>
    <w:rsid w:val="009C42A7"/>
    <w:rsid w:val="009C5877"/>
    <w:rsid w:val="009D1E6F"/>
    <w:rsid w:val="009D3584"/>
    <w:rsid w:val="009D7CFE"/>
    <w:rsid w:val="009E082E"/>
    <w:rsid w:val="009E1CAB"/>
    <w:rsid w:val="009E3BD4"/>
    <w:rsid w:val="009E728D"/>
    <w:rsid w:val="009F1709"/>
    <w:rsid w:val="009F47B8"/>
    <w:rsid w:val="009F502C"/>
    <w:rsid w:val="009F780B"/>
    <w:rsid w:val="009F7C47"/>
    <w:rsid w:val="00A02AFD"/>
    <w:rsid w:val="00A0387C"/>
    <w:rsid w:val="00A06260"/>
    <w:rsid w:val="00A13AEE"/>
    <w:rsid w:val="00A17DD2"/>
    <w:rsid w:val="00A200DC"/>
    <w:rsid w:val="00A221B3"/>
    <w:rsid w:val="00A2381F"/>
    <w:rsid w:val="00A247B8"/>
    <w:rsid w:val="00A25681"/>
    <w:rsid w:val="00A262A3"/>
    <w:rsid w:val="00A269CA"/>
    <w:rsid w:val="00A33273"/>
    <w:rsid w:val="00A33E85"/>
    <w:rsid w:val="00A34F20"/>
    <w:rsid w:val="00A35E0B"/>
    <w:rsid w:val="00A3619D"/>
    <w:rsid w:val="00A4043A"/>
    <w:rsid w:val="00A40E1F"/>
    <w:rsid w:val="00A41A75"/>
    <w:rsid w:val="00A42B9E"/>
    <w:rsid w:val="00A4608E"/>
    <w:rsid w:val="00A4687D"/>
    <w:rsid w:val="00A56660"/>
    <w:rsid w:val="00A57211"/>
    <w:rsid w:val="00A60756"/>
    <w:rsid w:val="00A61496"/>
    <w:rsid w:val="00A614D3"/>
    <w:rsid w:val="00A61573"/>
    <w:rsid w:val="00A62EEB"/>
    <w:rsid w:val="00A63846"/>
    <w:rsid w:val="00A63884"/>
    <w:rsid w:val="00A666AA"/>
    <w:rsid w:val="00A72016"/>
    <w:rsid w:val="00A754F9"/>
    <w:rsid w:val="00A758AD"/>
    <w:rsid w:val="00A773DD"/>
    <w:rsid w:val="00A80792"/>
    <w:rsid w:val="00A80CDE"/>
    <w:rsid w:val="00A821E6"/>
    <w:rsid w:val="00A82C83"/>
    <w:rsid w:val="00A833FC"/>
    <w:rsid w:val="00A90C33"/>
    <w:rsid w:val="00A9358B"/>
    <w:rsid w:val="00A94BF0"/>
    <w:rsid w:val="00A957C5"/>
    <w:rsid w:val="00AA0B2D"/>
    <w:rsid w:val="00AA1120"/>
    <w:rsid w:val="00AA1B03"/>
    <w:rsid w:val="00AA2FE5"/>
    <w:rsid w:val="00AA3880"/>
    <w:rsid w:val="00AA419A"/>
    <w:rsid w:val="00AA4BB9"/>
    <w:rsid w:val="00AA4C2E"/>
    <w:rsid w:val="00AB0B4C"/>
    <w:rsid w:val="00AB3191"/>
    <w:rsid w:val="00AB4CCF"/>
    <w:rsid w:val="00AB5699"/>
    <w:rsid w:val="00AC169A"/>
    <w:rsid w:val="00AC3A35"/>
    <w:rsid w:val="00AC4F05"/>
    <w:rsid w:val="00AC5F9C"/>
    <w:rsid w:val="00AC7AE1"/>
    <w:rsid w:val="00AC7E2C"/>
    <w:rsid w:val="00AD5B02"/>
    <w:rsid w:val="00AE3D60"/>
    <w:rsid w:val="00AE59B2"/>
    <w:rsid w:val="00AE68AC"/>
    <w:rsid w:val="00AF032B"/>
    <w:rsid w:val="00AF0FDF"/>
    <w:rsid w:val="00AF1D9C"/>
    <w:rsid w:val="00AF4B4A"/>
    <w:rsid w:val="00AF7050"/>
    <w:rsid w:val="00B02266"/>
    <w:rsid w:val="00B03209"/>
    <w:rsid w:val="00B06F01"/>
    <w:rsid w:val="00B10489"/>
    <w:rsid w:val="00B108DC"/>
    <w:rsid w:val="00B1222E"/>
    <w:rsid w:val="00B17A0C"/>
    <w:rsid w:val="00B17C01"/>
    <w:rsid w:val="00B20955"/>
    <w:rsid w:val="00B25C47"/>
    <w:rsid w:val="00B3057D"/>
    <w:rsid w:val="00B31243"/>
    <w:rsid w:val="00B34538"/>
    <w:rsid w:val="00B34550"/>
    <w:rsid w:val="00B3679E"/>
    <w:rsid w:val="00B36955"/>
    <w:rsid w:val="00B407A4"/>
    <w:rsid w:val="00B42655"/>
    <w:rsid w:val="00B431A7"/>
    <w:rsid w:val="00B43CC4"/>
    <w:rsid w:val="00B56D6D"/>
    <w:rsid w:val="00B605BB"/>
    <w:rsid w:val="00B61DDC"/>
    <w:rsid w:val="00B630BB"/>
    <w:rsid w:val="00B663BA"/>
    <w:rsid w:val="00B67603"/>
    <w:rsid w:val="00B70D43"/>
    <w:rsid w:val="00B7341D"/>
    <w:rsid w:val="00B75217"/>
    <w:rsid w:val="00B84C00"/>
    <w:rsid w:val="00B878D2"/>
    <w:rsid w:val="00B924BD"/>
    <w:rsid w:val="00B926C9"/>
    <w:rsid w:val="00B94F54"/>
    <w:rsid w:val="00BA07EC"/>
    <w:rsid w:val="00BA277C"/>
    <w:rsid w:val="00BA38D4"/>
    <w:rsid w:val="00BA412F"/>
    <w:rsid w:val="00BA4A3F"/>
    <w:rsid w:val="00BA4C96"/>
    <w:rsid w:val="00BA6027"/>
    <w:rsid w:val="00BA7E0B"/>
    <w:rsid w:val="00BB5CC5"/>
    <w:rsid w:val="00BB642C"/>
    <w:rsid w:val="00BC398A"/>
    <w:rsid w:val="00BC6346"/>
    <w:rsid w:val="00BD56B6"/>
    <w:rsid w:val="00BD6411"/>
    <w:rsid w:val="00BE0626"/>
    <w:rsid w:val="00BE1E4D"/>
    <w:rsid w:val="00BE6351"/>
    <w:rsid w:val="00BF1BD4"/>
    <w:rsid w:val="00BF3671"/>
    <w:rsid w:val="00BF381F"/>
    <w:rsid w:val="00BF3A64"/>
    <w:rsid w:val="00BF4F0B"/>
    <w:rsid w:val="00BF53C0"/>
    <w:rsid w:val="00BF6730"/>
    <w:rsid w:val="00BF7643"/>
    <w:rsid w:val="00BF7E4F"/>
    <w:rsid w:val="00C01070"/>
    <w:rsid w:val="00C028C2"/>
    <w:rsid w:val="00C0412F"/>
    <w:rsid w:val="00C04655"/>
    <w:rsid w:val="00C07526"/>
    <w:rsid w:val="00C110AC"/>
    <w:rsid w:val="00C12D75"/>
    <w:rsid w:val="00C21378"/>
    <w:rsid w:val="00C25700"/>
    <w:rsid w:val="00C307DD"/>
    <w:rsid w:val="00C3199D"/>
    <w:rsid w:val="00C322BF"/>
    <w:rsid w:val="00C32A56"/>
    <w:rsid w:val="00C32B46"/>
    <w:rsid w:val="00C35E5B"/>
    <w:rsid w:val="00C40B8B"/>
    <w:rsid w:val="00C411C2"/>
    <w:rsid w:val="00C4644F"/>
    <w:rsid w:val="00C5016A"/>
    <w:rsid w:val="00C5405B"/>
    <w:rsid w:val="00C54060"/>
    <w:rsid w:val="00C540FC"/>
    <w:rsid w:val="00C54DD9"/>
    <w:rsid w:val="00C6065C"/>
    <w:rsid w:val="00C612EB"/>
    <w:rsid w:val="00C63233"/>
    <w:rsid w:val="00C6328B"/>
    <w:rsid w:val="00C67A2E"/>
    <w:rsid w:val="00C67BCE"/>
    <w:rsid w:val="00C700EB"/>
    <w:rsid w:val="00C70A93"/>
    <w:rsid w:val="00C70ABB"/>
    <w:rsid w:val="00C73585"/>
    <w:rsid w:val="00C76077"/>
    <w:rsid w:val="00C80ADD"/>
    <w:rsid w:val="00C82CDD"/>
    <w:rsid w:val="00C84193"/>
    <w:rsid w:val="00C846DE"/>
    <w:rsid w:val="00C87F73"/>
    <w:rsid w:val="00C91483"/>
    <w:rsid w:val="00C93C50"/>
    <w:rsid w:val="00C969D7"/>
    <w:rsid w:val="00C97B3E"/>
    <w:rsid w:val="00CA0BE1"/>
    <w:rsid w:val="00CA225E"/>
    <w:rsid w:val="00CA269C"/>
    <w:rsid w:val="00CB1A96"/>
    <w:rsid w:val="00CB2D20"/>
    <w:rsid w:val="00CB3DFD"/>
    <w:rsid w:val="00CC02A1"/>
    <w:rsid w:val="00CC21F0"/>
    <w:rsid w:val="00CC3127"/>
    <w:rsid w:val="00CC3843"/>
    <w:rsid w:val="00CC6205"/>
    <w:rsid w:val="00CC7851"/>
    <w:rsid w:val="00CC78E2"/>
    <w:rsid w:val="00CD5D06"/>
    <w:rsid w:val="00CD72B1"/>
    <w:rsid w:val="00CE716B"/>
    <w:rsid w:val="00CF3205"/>
    <w:rsid w:val="00CF373C"/>
    <w:rsid w:val="00CF52D3"/>
    <w:rsid w:val="00CF7200"/>
    <w:rsid w:val="00D04040"/>
    <w:rsid w:val="00D04410"/>
    <w:rsid w:val="00D04A75"/>
    <w:rsid w:val="00D06A5D"/>
    <w:rsid w:val="00D06BAD"/>
    <w:rsid w:val="00D0718E"/>
    <w:rsid w:val="00D074A1"/>
    <w:rsid w:val="00D1040C"/>
    <w:rsid w:val="00D1160E"/>
    <w:rsid w:val="00D13D5D"/>
    <w:rsid w:val="00D16444"/>
    <w:rsid w:val="00D165D6"/>
    <w:rsid w:val="00D16F2B"/>
    <w:rsid w:val="00D207B7"/>
    <w:rsid w:val="00D21002"/>
    <w:rsid w:val="00D24150"/>
    <w:rsid w:val="00D260AF"/>
    <w:rsid w:val="00D33461"/>
    <w:rsid w:val="00D3551A"/>
    <w:rsid w:val="00D35DAE"/>
    <w:rsid w:val="00D366AC"/>
    <w:rsid w:val="00D41185"/>
    <w:rsid w:val="00D41899"/>
    <w:rsid w:val="00D42D17"/>
    <w:rsid w:val="00D47B24"/>
    <w:rsid w:val="00D5228A"/>
    <w:rsid w:val="00D53AF3"/>
    <w:rsid w:val="00D54F3D"/>
    <w:rsid w:val="00D5564E"/>
    <w:rsid w:val="00D5596D"/>
    <w:rsid w:val="00D62FC9"/>
    <w:rsid w:val="00D663D3"/>
    <w:rsid w:val="00D70E7C"/>
    <w:rsid w:val="00D718B8"/>
    <w:rsid w:val="00D75454"/>
    <w:rsid w:val="00D77625"/>
    <w:rsid w:val="00D7770E"/>
    <w:rsid w:val="00D8057E"/>
    <w:rsid w:val="00D85EBE"/>
    <w:rsid w:val="00D86BCC"/>
    <w:rsid w:val="00D8761F"/>
    <w:rsid w:val="00D9080D"/>
    <w:rsid w:val="00D91C76"/>
    <w:rsid w:val="00D93F93"/>
    <w:rsid w:val="00D9470E"/>
    <w:rsid w:val="00D95201"/>
    <w:rsid w:val="00D95C3F"/>
    <w:rsid w:val="00DA0DAC"/>
    <w:rsid w:val="00DA2559"/>
    <w:rsid w:val="00DA3001"/>
    <w:rsid w:val="00DA459A"/>
    <w:rsid w:val="00DB49F8"/>
    <w:rsid w:val="00DB557B"/>
    <w:rsid w:val="00DB59D2"/>
    <w:rsid w:val="00DB78EE"/>
    <w:rsid w:val="00DC1AFB"/>
    <w:rsid w:val="00DC30D3"/>
    <w:rsid w:val="00DC5E5C"/>
    <w:rsid w:val="00DD0AA3"/>
    <w:rsid w:val="00DD1778"/>
    <w:rsid w:val="00DD55ED"/>
    <w:rsid w:val="00DD5769"/>
    <w:rsid w:val="00DD663A"/>
    <w:rsid w:val="00DE09B4"/>
    <w:rsid w:val="00DE2E10"/>
    <w:rsid w:val="00DE2F9C"/>
    <w:rsid w:val="00DE4A88"/>
    <w:rsid w:val="00DE517A"/>
    <w:rsid w:val="00DF3C19"/>
    <w:rsid w:val="00DF7395"/>
    <w:rsid w:val="00E00D90"/>
    <w:rsid w:val="00E01C63"/>
    <w:rsid w:val="00E0389B"/>
    <w:rsid w:val="00E05D20"/>
    <w:rsid w:val="00E113CA"/>
    <w:rsid w:val="00E13931"/>
    <w:rsid w:val="00E16062"/>
    <w:rsid w:val="00E24E88"/>
    <w:rsid w:val="00E2599F"/>
    <w:rsid w:val="00E27A0F"/>
    <w:rsid w:val="00E303B9"/>
    <w:rsid w:val="00E316F3"/>
    <w:rsid w:val="00E31D85"/>
    <w:rsid w:val="00E3510C"/>
    <w:rsid w:val="00E41E00"/>
    <w:rsid w:val="00E42DE3"/>
    <w:rsid w:val="00E432C4"/>
    <w:rsid w:val="00E454A2"/>
    <w:rsid w:val="00E46FD1"/>
    <w:rsid w:val="00E51BBF"/>
    <w:rsid w:val="00E5316E"/>
    <w:rsid w:val="00E53AC8"/>
    <w:rsid w:val="00E57807"/>
    <w:rsid w:val="00E57E3F"/>
    <w:rsid w:val="00E60FA4"/>
    <w:rsid w:val="00E61461"/>
    <w:rsid w:val="00E629C9"/>
    <w:rsid w:val="00E66CA5"/>
    <w:rsid w:val="00E70218"/>
    <w:rsid w:val="00E7504B"/>
    <w:rsid w:val="00E75FEB"/>
    <w:rsid w:val="00E776DE"/>
    <w:rsid w:val="00E80C5C"/>
    <w:rsid w:val="00E821B8"/>
    <w:rsid w:val="00E85F3C"/>
    <w:rsid w:val="00E861EC"/>
    <w:rsid w:val="00E863D4"/>
    <w:rsid w:val="00E86B55"/>
    <w:rsid w:val="00E876B2"/>
    <w:rsid w:val="00E90D0D"/>
    <w:rsid w:val="00E90D17"/>
    <w:rsid w:val="00E91E02"/>
    <w:rsid w:val="00E92FD5"/>
    <w:rsid w:val="00E93266"/>
    <w:rsid w:val="00E93390"/>
    <w:rsid w:val="00EA0280"/>
    <w:rsid w:val="00EA377C"/>
    <w:rsid w:val="00EA3937"/>
    <w:rsid w:val="00EA3BC6"/>
    <w:rsid w:val="00EA5D5B"/>
    <w:rsid w:val="00EA760A"/>
    <w:rsid w:val="00EB04F6"/>
    <w:rsid w:val="00EB4180"/>
    <w:rsid w:val="00EB72FF"/>
    <w:rsid w:val="00EC5448"/>
    <w:rsid w:val="00EC544C"/>
    <w:rsid w:val="00EC626D"/>
    <w:rsid w:val="00EC6E30"/>
    <w:rsid w:val="00EC77A6"/>
    <w:rsid w:val="00EC7A4A"/>
    <w:rsid w:val="00ED0EBA"/>
    <w:rsid w:val="00ED11AA"/>
    <w:rsid w:val="00ED169D"/>
    <w:rsid w:val="00ED4F6E"/>
    <w:rsid w:val="00EF20D8"/>
    <w:rsid w:val="00EF3FE2"/>
    <w:rsid w:val="00EF685F"/>
    <w:rsid w:val="00F01680"/>
    <w:rsid w:val="00F0314A"/>
    <w:rsid w:val="00F03344"/>
    <w:rsid w:val="00F058B1"/>
    <w:rsid w:val="00F07E4C"/>
    <w:rsid w:val="00F10B5F"/>
    <w:rsid w:val="00F124C0"/>
    <w:rsid w:val="00F12941"/>
    <w:rsid w:val="00F14BD2"/>
    <w:rsid w:val="00F14D7E"/>
    <w:rsid w:val="00F14D8B"/>
    <w:rsid w:val="00F15F1C"/>
    <w:rsid w:val="00F162CE"/>
    <w:rsid w:val="00F20741"/>
    <w:rsid w:val="00F2388D"/>
    <w:rsid w:val="00F23BDA"/>
    <w:rsid w:val="00F251CB"/>
    <w:rsid w:val="00F26463"/>
    <w:rsid w:val="00F3044D"/>
    <w:rsid w:val="00F30FD1"/>
    <w:rsid w:val="00F32950"/>
    <w:rsid w:val="00F33ED6"/>
    <w:rsid w:val="00F3793B"/>
    <w:rsid w:val="00F45790"/>
    <w:rsid w:val="00F500C7"/>
    <w:rsid w:val="00F50BEE"/>
    <w:rsid w:val="00F50C44"/>
    <w:rsid w:val="00F51E74"/>
    <w:rsid w:val="00F55DD4"/>
    <w:rsid w:val="00F5796B"/>
    <w:rsid w:val="00F64DD7"/>
    <w:rsid w:val="00F74391"/>
    <w:rsid w:val="00F74863"/>
    <w:rsid w:val="00F75C3A"/>
    <w:rsid w:val="00F76C46"/>
    <w:rsid w:val="00F81722"/>
    <w:rsid w:val="00F83031"/>
    <w:rsid w:val="00F84EAC"/>
    <w:rsid w:val="00F9088D"/>
    <w:rsid w:val="00F90F42"/>
    <w:rsid w:val="00F9491A"/>
    <w:rsid w:val="00F955D0"/>
    <w:rsid w:val="00F97455"/>
    <w:rsid w:val="00FA0499"/>
    <w:rsid w:val="00FA09E1"/>
    <w:rsid w:val="00FA4D1F"/>
    <w:rsid w:val="00FA4F3F"/>
    <w:rsid w:val="00FA4F7C"/>
    <w:rsid w:val="00FA7083"/>
    <w:rsid w:val="00FA747E"/>
    <w:rsid w:val="00FB16BF"/>
    <w:rsid w:val="00FB2B28"/>
    <w:rsid w:val="00FB5539"/>
    <w:rsid w:val="00FB575D"/>
    <w:rsid w:val="00FB5ECD"/>
    <w:rsid w:val="00FB6110"/>
    <w:rsid w:val="00FC06EC"/>
    <w:rsid w:val="00FC0F8E"/>
    <w:rsid w:val="00FC2542"/>
    <w:rsid w:val="00FC5D37"/>
    <w:rsid w:val="00FD2175"/>
    <w:rsid w:val="00FF07AB"/>
    <w:rsid w:val="00FF37F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59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b-NO"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34099"/>
    <w:rPr>
      <w:rFonts w:ascii="Arial" w:hAnsi="Arial"/>
      <w:color w:val="000000"/>
      <w:sz w:val="22"/>
      <w:szCs w:val="24"/>
      <w:lang w:eastAsia="en-US"/>
    </w:rPr>
  </w:style>
  <w:style w:type="paragraph" w:styleId="berschrift1">
    <w:name w:val="heading 1"/>
    <w:basedOn w:val="Standard"/>
    <w:next w:val="Standard"/>
    <w:qFormat/>
    <w:rsid w:val="00925429"/>
    <w:pPr>
      <w:keepNext/>
      <w:numPr>
        <w:numId w:val="25"/>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25"/>
      </w:numPr>
      <w:tabs>
        <w:tab w:val="left" w:pos="567"/>
      </w:tabs>
      <w:outlineLvl w:val="1"/>
    </w:pPr>
    <w:rPr>
      <w:b/>
      <w:bCs/>
    </w:rPr>
  </w:style>
  <w:style w:type="paragraph" w:styleId="berschrift3">
    <w:name w:val="heading 3"/>
    <w:basedOn w:val="Standard"/>
    <w:next w:val="Standard"/>
    <w:qFormat/>
    <w:rsid w:val="00925429"/>
    <w:pPr>
      <w:keepNext/>
      <w:numPr>
        <w:ilvl w:val="2"/>
        <w:numId w:val="25"/>
      </w:numPr>
      <w:tabs>
        <w:tab w:val="left" w:pos="851"/>
      </w:tabs>
      <w:outlineLvl w:val="2"/>
    </w:pPr>
    <w:rPr>
      <w:bCs/>
      <w:u w:val="single"/>
    </w:rPr>
  </w:style>
  <w:style w:type="paragraph" w:styleId="berschrift4">
    <w:name w:val="heading 4"/>
    <w:basedOn w:val="Standard"/>
    <w:next w:val="Standard"/>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nb-NO"/>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b/>
      <w:bCs/>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nb-NO"/>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s>
</file>

<file path=word/webSettings.xml><?xml version="1.0" encoding="utf-8"?>
<w:webSettings xmlns:r="http://schemas.openxmlformats.org/officeDocument/2006/relationships" xmlns:w="http://schemas.openxmlformats.org/wordprocessingml/2006/main">
  <w:divs>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ess@doka.com" TargetMode="Externa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D96FDDD-6246-4A75-B009-F29A40EF0C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882</Words>
  <Characters>6100</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6969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Fuker Michael</cp:lastModifiedBy>
  <cp:revision>182</cp:revision>
  <cp:lastPrinted>2017-04-26T09:21:00Z</cp:lastPrinted>
  <dcterms:created xsi:type="dcterms:W3CDTF">2017-07-12T12:27:00Z</dcterms:created>
  <dcterms:modified xsi:type="dcterms:W3CDTF">2017-09-06T14:37:00Z</dcterms:modified>
</cp:coreProperties>
</file>